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2C5245" w:rsidRDefault="006544C4" w:rsidP="002C5245">
      <w:pPr>
        <w:jc w:val="center"/>
        <w:rPr>
          <w:lang w:val="fr-FR"/>
        </w:rPr>
      </w:pPr>
      <w:bookmarkStart w:id="0" w:name="_GoBack"/>
      <w:bookmarkEnd w:id="0"/>
    </w:p>
    <w:p w:rsidR="0094178F" w:rsidRPr="002C5245" w:rsidRDefault="0094178F" w:rsidP="002C5245">
      <w:pPr>
        <w:jc w:val="center"/>
        <w:rPr>
          <w:sz w:val="4"/>
          <w:szCs w:val="4"/>
          <w:lang w:val="fr-FR"/>
        </w:rPr>
      </w:pPr>
    </w:p>
    <w:p w:rsidR="006544C4" w:rsidRPr="002C5245" w:rsidRDefault="00481B13" w:rsidP="002C5245">
      <w:pPr>
        <w:pStyle w:val="DecHTitle"/>
        <w:rPr>
          <w:lang w:val="fr-FR"/>
        </w:rPr>
      </w:pPr>
      <w:r w:rsidRPr="002C5245">
        <w:rPr>
          <w:szCs w:val="24"/>
          <w:lang w:val="fr-FR"/>
        </w:rPr>
        <w:t>PREMIÈRE SECTION</w:t>
      </w:r>
    </w:p>
    <w:p w:rsidR="006544C4" w:rsidRPr="002C5245" w:rsidRDefault="006544C4" w:rsidP="002C5245">
      <w:pPr>
        <w:pStyle w:val="DecHTitle"/>
        <w:rPr>
          <w:caps/>
          <w:sz w:val="32"/>
          <w:lang w:val="fr-FR"/>
        </w:rPr>
      </w:pPr>
      <w:r w:rsidRPr="002C5245">
        <w:rPr>
          <w:lang w:val="fr-FR"/>
        </w:rPr>
        <w:t>DÉCISION</w:t>
      </w:r>
    </w:p>
    <w:p w:rsidR="006544C4" w:rsidRPr="002C5245" w:rsidRDefault="00481B13" w:rsidP="002C5245">
      <w:pPr>
        <w:pStyle w:val="ECHRTitleCentre2"/>
        <w:rPr>
          <w:i w:val="0"/>
          <w:lang w:val="fr-FR"/>
        </w:rPr>
      </w:pPr>
      <w:r w:rsidRPr="002C5245">
        <w:rPr>
          <w:i w:val="0"/>
          <w:lang w:val="fr-FR"/>
        </w:rPr>
        <w:t>Requête n</w:t>
      </w:r>
      <w:r w:rsidRPr="002C5245">
        <w:rPr>
          <w:i w:val="0"/>
          <w:vertAlign w:val="superscript"/>
          <w:lang w:val="fr-FR"/>
        </w:rPr>
        <w:t>o</w:t>
      </w:r>
      <w:r w:rsidR="006544C4" w:rsidRPr="002C5245">
        <w:rPr>
          <w:i w:val="0"/>
          <w:lang w:val="fr-FR"/>
        </w:rPr>
        <w:t xml:space="preserve"> </w:t>
      </w:r>
      <w:r w:rsidRPr="002C5245">
        <w:rPr>
          <w:i w:val="0"/>
          <w:lang w:val="fr-FR"/>
        </w:rPr>
        <w:t>15920/16</w:t>
      </w:r>
      <w:r w:rsidR="006544C4" w:rsidRPr="002C5245">
        <w:rPr>
          <w:i w:val="0"/>
          <w:lang w:val="fr-FR"/>
        </w:rPr>
        <w:br/>
      </w:r>
      <w:r w:rsidRPr="002C5245">
        <w:rPr>
          <w:i w:val="0"/>
          <w:lang w:val="fr-FR"/>
        </w:rPr>
        <w:t>Elena PETRACHE et Liliana TRANCA</w:t>
      </w:r>
      <w:r w:rsidRPr="002C5245">
        <w:rPr>
          <w:i w:val="0"/>
          <w:lang w:val="fr-FR"/>
        </w:rPr>
        <w:br/>
      </w:r>
      <w:r w:rsidR="006544C4" w:rsidRPr="002C5245">
        <w:rPr>
          <w:i w:val="0"/>
          <w:lang w:val="fr-FR"/>
        </w:rPr>
        <w:t xml:space="preserve">contre </w:t>
      </w:r>
      <w:r w:rsidRPr="002C5245">
        <w:rPr>
          <w:i w:val="0"/>
          <w:lang w:val="fr-FR"/>
        </w:rPr>
        <w:t>l</w:t>
      </w:r>
      <w:r w:rsidR="002C5245" w:rsidRPr="002C5245">
        <w:rPr>
          <w:i w:val="0"/>
          <w:lang w:val="fr-FR"/>
        </w:rPr>
        <w:t>’</w:t>
      </w:r>
      <w:r w:rsidRPr="002C5245">
        <w:rPr>
          <w:i w:val="0"/>
          <w:lang w:val="fr-FR"/>
        </w:rPr>
        <w:t>Italie</w:t>
      </w:r>
    </w:p>
    <w:p w:rsidR="00481B13" w:rsidRPr="002C5245" w:rsidRDefault="00481B13" w:rsidP="002C5245">
      <w:pPr>
        <w:pStyle w:val="ECHRPara"/>
        <w:rPr>
          <w:lang w:val="fr-FR"/>
        </w:rPr>
      </w:pPr>
      <w:r w:rsidRPr="002C5245">
        <w:rPr>
          <w:lang w:val="fr-FR"/>
        </w:rPr>
        <w:t>La Cour européenne des droits de l</w:t>
      </w:r>
      <w:r w:rsidR="002C5245" w:rsidRPr="002C5245">
        <w:rPr>
          <w:lang w:val="fr-FR"/>
        </w:rPr>
        <w:t>’</w:t>
      </w:r>
      <w:r w:rsidRPr="002C5245">
        <w:rPr>
          <w:lang w:val="fr-FR"/>
        </w:rPr>
        <w:t>homme (première section), siégeant le 4 octobre 2016 en un comité composé de :</w:t>
      </w:r>
    </w:p>
    <w:p w:rsidR="00481B13" w:rsidRPr="002C5245" w:rsidRDefault="00481B13" w:rsidP="002C5245">
      <w:pPr>
        <w:pStyle w:val="ECHRDecisionBody"/>
        <w:rPr>
          <w:lang w:val="fr-FR"/>
        </w:rPr>
      </w:pPr>
      <w:r w:rsidRPr="002C5245">
        <w:rPr>
          <w:lang w:val="fr-FR"/>
        </w:rPr>
        <w:tab/>
        <w:t>Kristina Pardalos,</w:t>
      </w:r>
      <w:r w:rsidRPr="002C5245">
        <w:rPr>
          <w:i/>
          <w:lang w:val="fr-FR"/>
        </w:rPr>
        <w:t xml:space="preserve"> présidente,</w:t>
      </w:r>
      <w:r w:rsidRPr="002C5245">
        <w:rPr>
          <w:i/>
          <w:lang w:val="fr-FR"/>
        </w:rPr>
        <w:br/>
      </w:r>
      <w:r w:rsidRPr="002C5245">
        <w:rPr>
          <w:lang w:val="fr-FR"/>
        </w:rPr>
        <w:tab/>
        <w:t>Robert Spano,</w:t>
      </w:r>
      <w:r w:rsidRPr="002C5245">
        <w:rPr>
          <w:i/>
          <w:lang w:val="fr-FR"/>
        </w:rPr>
        <w:br/>
      </w:r>
      <w:r w:rsidRPr="002C5245">
        <w:rPr>
          <w:lang w:val="fr-FR"/>
        </w:rPr>
        <w:tab/>
        <w:t>Tim Eicke,</w:t>
      </w:r>
      <w:r w:rsidRPr="002C5245">
        <w:rPr>
          <w:i/>
          <w:lang w:val="fr-FR"/>
        </w:rPr>
        <w:t xml:space="preserve"> juges,</w:t>
      </w:r>
    </w:p>
    <w:p w:rsidR="00481B13" w:rsidRPr="002C5245" w:rsidRDefault="00481B13" w:rsidP="002C5245">
      <w:pPr>
        <w:pStyle w:val="ECHRPara"/>
        <w:ind w:firstLine="0"/>
        <w:rPr>
          <w:lang w:val="fr-FR"/>
        </w:rPr>
      </w:pPr>
      <w:r w:rsidRPr="002C5245">
        <w:rPr>
          <w:lang w:val="fr-FR"/>
        </w:rPr>
        <w:t xml:space="preserve">et de Renata Degener, </w:t>
      </w:r>
      <w:r w:rsidRPr="002C5245">
        <w:rPr>
          <w:i/>
          <w:lang w:val="fr-FR"/>
        </w:rPr>
        <w:t>greffière adjointe</w:t>
      </w:r>
      <w:r w:rsidRPr="002C5245">
        <w:rPr>
          <w:i/>
          <w:iCs/>
          <w:lang w:val="fr-FR"/>
        </w:rPr>
        <w:t xml:space="preserve"> d</w:t>
      </w:r>
      <w:r w:rsidRPr="002C5245">
        <w:rPr>
          <w:i/>
          <w:lang w:val="fr-FR"/>
        </w:rPr>
        <w:t>e section,</w:t>
      </w:r>
    </w:p>
    <w:p w:rsidR="00481B13" w:rsidRPr="002C5245" w:rsidRDefault="00481B13" w:rsidP="002C5245">
      <w:pPr>
        <w:pStyle w:val="ECHRPara"/>
        <w:rPr>
          <w:lang w:val="fr-FR"/>
        </w:rPr>
      </w:pPr>
      <w:r w:rsidRPr="002C5245">
        <w:rPr>
          <w:lang w:val="fr-FR"/>
        </w:rPr>
        <w:t>Vu la requête susmentionnée introduite le 23 mars 2016,</w:t>
      </w:r>
    </w:p>
    <w:p w:rsidR="00481B13" w:rsidRPr="002C5245" w:rsidRDefault="00481B13" w:rsidP="002C5245">
      <w:pPr>
        <w:pStyle w:val="ECHRPara"/>
        <w:rPr>
          <w:lang w:val="fr-FR"/>
        </w:rPr>
      </w:pPr>
      <w:r w:rsidRPr="002C5245">
        <w:rPr>
          <w:lang w:val="fr-FR"/>
        </w:rPr>
        <w:t>Vu la mesure provisoire indiquée au gouvernement défendeur en vertu de l</w:t>
      </w:r>
      <w:r w:rsidR="002C5245" w:rsidRPr="002C5245">
        <w:rPr>
          <w:lang w:val="fr-FR"/>
        </w:rPr>
        <w:t>’</w:t>
      </w:r>
      <w:r w:rsidRPr="002C5245">
        <w:rPr>
          <w:lang w:val="fr-FR"/>
        </w:rPr>
        <w:t>article 39 du règlement de la Cour,</w:t>
      </w:r>
    </w:p>
    <w:p w:rsidR="00481B13" w:rsidRPr="002C5245" w:rsidRDefault="00481B13" w:rsidP="002C5245">
      <w:pPr>
        <w:pStyle w:val="ECHRPara"/>
        <w:rPr>
          <w:lang w:val="fr-FR"/>
        </w:rPr>
      </w:pPr>
      <w:r w:rsidRPr="002C5245">
        <w:rPr>
          <w:lang w:val="fr-FR"/>
        </w:rPr>
        <w:t>Vu la décision de traiter en priorité la requête en vertu de l</w:t>
      </w:r>
      <w:r w:rsidR="002C5245" w:rsidRPr="002C5245">
        <w:rPr>
          <w:lang w:val="fr-FR"/>
        </w:rPr>
        <w:t>’</w:t>
      </w:r>
      <w:r w:rsidRPr="002C5245">
        <w:rPr>
          <w:lang w:val="fr-FR"/>
        </w:rPr>
        <w:t>article 41 du règlement de la Cour,</w:t>
      </w:r>
    </w:p>
    <w:p w:rsidR="00481B13" w:rsidRPr="002C5245" w:rsidRDefault="00481B13" w:rsidP="002C5245">
      <w:pPr>
        <w:pStyle w:val="ECHRPara"/>
        <w:rPr>
          <w:lang w:val="fr-FR"/>
        </w:rPr>
      </w:pPr>
      <w:r w:rsidRPr="002C5245">
        <w:rPr>
          <w:lang w:val="fr-FR"/>
        </w:rPr>
        <w:t>Vu la demande d</w:t>
      </w:r>
      <w:r w:rsidR="002C5245" w:rsidRPr="002C5245">
        <w:rPr>
          <w:lang w:val="fr-FR"/>
        </w:rPr>
        <w:t>’</w:t>
      </w:r>
      <w:r w:rsidRPr="002C5245">
        <w:rPr>
          <w:lang w:val="fr-FR"/>
        </w:rPr>
        <w:t>information factuelle adressée au Gouvernement,</w:t>
      </w:r>
    </w:p>
    <w:p w:rsidR="00481B13" w:rsidRPr="002C5245" w:rsidRDefault="00481B13" w:rsidP="002C5245">
      <w:pPr>
        <w:pStyle w:val="ECHRPara"/>
        <w:rPr>
          <w:lang w:val="fr-FR"/>
        </w:rPr>
      </w:pPr>
      <w:r w:rsidRPr="002C5245">
        <w:rPr>
          <w:lang w:val="fr-FR"/>
        </w:rPr>
        <w:t>Vu les informations fournies par les parties,</w:t>
      </w:r>
    </w:p>
    <w:p w:rsidR="00481B13" w:rsidRPr="002C5245" w:rsidRDefault="00481B13" w:rsidP="002C5245">
      <w:pPr>
        <w:pStyle w:val="ECHRPara"/>
        <w:rPr>
          <w:color w:val="000000"/>
          <w:lang w:val="fr-FR"/>
        </w:rPr>
      </w:pPr>
      <w:r w:rsidRPr="002C5245">
        <w:rPr>
          <w:lang w:val="fr-FR"/>
        </w:rPr>
        <w:t>Après en avoir délibéré, rend la décision suivante :</w:t>
      </w:r>
    </w:p>
    <w:p w:rsidR="00481B13" w:rsidRPr="002C5245" w:rsidRDefault="00481B13" w:rsidP="002C5245">
      <w:pPr>
        <w:pStyle w:val="ECHRTitle1"/>
        <w:rPr>
          <w:lang w:val="fr-FR"/>
        </w:rPr>
      </w:pPr>
      <w:r w:rsidRPr="002C5245">
        <w:rPr>
          <w:lang w:val="fr-FR"/>
        </w:rPr>
        <w:t>EN FAIT</w:t>
      </w:r>
    </w:p>
    <w:p w:rsidR="00481B13" w:rsidRPr="002C5245" w:rsidRDefault="00481B13" w:rsidP="002C5245">
      <w:pPr>
        <w:pStyle w:val="ECHRPara"/>
        <w:rPr>
          <w:lang w:val="fr-FR"/>
        </w:rPr>
      </w:pPr>
      <w:r w:rsidRPr="002C5245">
        <w:rPr>
          <w:lang w:val="fr-FR"/>
        </w:rPr>
        <w:t>1.  Les requérantes, M</w:t>
      </w:r>
      <w:r w:rsidRPr="002C5245">
        <w:rPr>
          <w:vertAlign w:val="superscript"/>
          <w:lang w:val="fr-FR"/>
        </w:rPr>
        <w:t>mes</w:t>
      </w:r>
      <w:r w:rsidRPr="002C5245">
        <w:rPr>
          <w:lang w:val="fr-FR"/>
        </w:rPr>
        <w:t xml:space="preserve"> Elena Petrache et Liliana Tranca, sont des ressortissantes roumaines, nées respectivement en 1936 et en 1966 et résidant à Rome.</w:t>
      </w:r>
    </w:p>
    <w:p w:rsidR="00020450" w:rsidRPr="002C5245" w:rsidRDefault="00020450" w:rsidP="002C5245">
      <w:pPr>
        <w:pStyle w:val="ECHRHeading2"/>
        <w:rPr>
          <w:lang w:val="fr-FR"/>
        </w:rPr>
      </w:pPr>
      <w:r w:rsidRPr="002C5245">
        <w:rPr>
          <w:lang w:val="fr-FR"/>
        </w:rPr>
        <w:t>A.  Les circonstances de l</w:t>
      </w:r>
      <w:r w:rsidR="002C5245" w:rsidRPr="002C5245">
        <w:rPr>
          <w:lang w:val="fr-FR"/>
        </w:rPr>
        <w:t>’</w:t>
      </w:r>
      <w:r w:rsidRPr="002C5245">
        <w:rPr>
          <w:lang w:val="fr-FR"/>
        </w:rPr>
        <w:t>espèce</w:t>
      </w:r>
    </w:p>
    <w:p w:rsidR="00481B13" w:rsidRPr="002C5245" w:rsidRDefault="00481B13" w:rsidP="002C5245">
      <w:pPr>
        <w:pStyle w:val="ECHRPara"/>
        <w:rPr>
          <w:lang w:val="fr-FR"/>
        </w:rPr>
      </w:pPr>
      <w:r w:rsidRPr="002C5245">
        <w:rPr>
          <w:lang w:val="fr-FR"/>
        </w:rPr>
        <w:t>2.  Les faits de la cause, tels qu</w:t>
      </w:r>
      <w:r w:rsidR="002C5245" w:rsidRPr="002C5245">
        <w:rPr>
          <w:lang w:val="fr-FR"/>
        </w:rPr>
        <w:t>’</w:t>
      </w:r>
      <w:r w:rsidRPr="002C5245">
        <w:rPr>
          <w:lang w:val="fr-FR"/>
        </w:rPr>
        <w:t>ils ont été exposés par les requérantes, peuvent se résumer comme suit.</w:t>
      </w:r>
    </w:p>
    <w:p w:rsidR="00481B13" w:rsidRPr="002C5245" w:rsidRDefault="00D56C02" w:rsidP="002C5245">
      <w:pPr>
        <w:pStyle w:val="ECHRHeading3"/>
        <w:rPr>
          <w:lang w:val="fr-FR"/>
        </w:rPr>
      </w:pPr>
      <w:r w:rsidRPr="002C5245">
        <w:rPr>
          <w:lang w:val="fr-FR"/>
        </w:rPr>
        <w:lastRenderedPageBreak/>
        <w:t>1.  </w:t>
      </w:r>
      <w:r w:rsidR="00481B13" w:rsidRPr="002C5245">
        <w:rPr>
          <w:lang w:val="fr-FR"/>
        </w:rPr>
        <w:t>Le contexte général</w:t>
      </w:r>
    </w:p>
    <w:p w:rsidR="00481B13" w:rsidRPr="002C5245" w:rsidRDefault="00481B13" w:rsidP="002C5245">
      <w:pPr>
        <w:pStyle w:val="ECHRPara"/>
        <w:rPr>
          <w:lang w:val="fr-FR"/>
        </w:rPr>
      </w:pPr>
      <w:r w:rsidRPr="002C5245">
        <w:rPr>
          <w:lang w:val="fr-FR"/>
        </w:rPr>
        <w:t>3.  Le 21 octobre 2013, la Commission des droits de l</w:t>
      </w:r>
      <w:r w:rsidR="002C5245" w:rsidRPr="002C5245">
        <w:rPr>
          <w:lang w:val="fr-FR"/>
        </w:rPr>
        <w:t>’</w:t>
      </w:r>
      <w:r w:rsidRPr="002C5245">
        <w:rPr>
          <w:lang w:val="fr-FR"/>
        </w:rPr>
        <w:t>homme du Senat de la République italienne visita le centre d</w:t>
      </w:r>
      <w:r w:rsidR="002C5245" w:rsidRPr="002C5245">
        <w:rPr>
          <w:lang w:val="fr-FR"/>
        </w:rPr>
        <w:t>’</w:t>
      </w:r>
      <w:r w:rsidRPr="002C5245">
        <w:rPr>
          <w:lang w:val="fr-FR"/>
        </w:rPr>
        <w:t>accueil d</w:t>
      </w:r>
      <w:r w:rsidR="002C5245" w:rsidRPr="002C5245">
        <w:rPr>
          <w:lang w:val="fr-FR"/>
        </w:rPr>
        <w:t>’</w:t>
      </w:r>
      <w:r w:rsidRPr="002C5245">
        <w:rPr>
          <w:lang w:val="fr-FR"/>
        </w:rPr>
        <w:t>urgence (</w:t>
      </w:r>
      <w:r w:rsidRPr="002C5245">
        <w:rPr>
          <w:i/>
          <w:lang w:val="fr-FR"/>
        </w:rPr>
        <w:t>Centro d</w:t>
      </w:r>
      <w:r w:rsidR="002C5245" w:rsidRPr="002C5245">
        <w:rPr>
          <w:i/>
          <w:lang w:val="fr-FR"/>
        </w:rPr>
        <w:t>’</w:t>
      </w:r>
      <w:r w:rsidRPr="002C5245">
        <w:rPr>
          <w:i/>
          <w:lang w:val="fr-FR"/>
        </w:rPr>
        <w:t>assistenza abitativa temporanea</w:t>
      </w:r>
      <w:r w:rsidRPr="002C5245">
        <w:rPr>
          <w:lang w:val="fr-FR"/>
        </w:rPr>
        <w:t xml:space="preserve"> – CAAT) « </w:t>
      </w:r>
      <w:r w:rsidRPr="002C5245">
        <w:rPr>
          <w:i/>
          <w:lang w:val="fr-FR"/>
        </w:rPr>
        <w:t>Ex-Cartiera</w:t>
      </w:r>
      <w:r w:rsidRPr="002C5245">
        <w:rPr>
          <w:lang w:val="fr-FR"/>
        </w:rPr>
        <w:t> » à Rome. À l</w:t>
      </w:r>
      <w:r w:rsidR="002C5245" w:rsidRPr="002C5245">
        <w:rPr>
          <w:lang w:val="fr-FR"/>
        </w:rPr>
        <w:t>’</w:t>
      </w:r>
      <w:r w:rsidRPr="002C5245">
        <w:rPr>
          <w:lang w:val="fr-FR"/>
        </w:rPr>
        <w:t>issue de cette visite, la Commission dénonça les conditions de délabrement de la structure et l</w:t>
      </w:r>
      <w:r w:rsidR="002C5245" w:rsidRPr="002C5245">
        <w:rPr>
          <w:lang w:val="fr-FR"/>
        </w:rPr>
        <w:t>’</w:t>
      </w:r>
      <w:r w:rsidRPr="002C5245">
        <w:rPr>
          <w:lang w:val="fr-FR"/>
        </w:rPr>
        <w:t>absence d</w:t>
      </w:r>
      <w:r w:rsidR="002C5245" w:rsidRPr="002C5245">
        <w:rPr>
          <w:lang w:val="fr-FR"/>
        </w:rPr>
        <w:t>’</w:t>
      </w:r>
      <w:r w:rsidRPr="002C5245">
        <w:rPr>
          <w:lang w:val="fr-FR"/>
        </w:rPr>
        <w:t>un projet d</w:t>
      </w:r>
      <w:r w:rsidR="002C5245" w:rsidRPr="002C5245">
        <w:rPr>
          <w:lang w:val="fr-FR"/>
        </w:rPr>
        <w:t>’</w:t>
      </w:r>
      <w:r w:rsidRPr="002C5245">
        <w:rPr>
          <w:lang w:val="fr-FR"/>
        </w:rPr>
        <w:t>intégration pour les familles résidantes.</w:t>
      </w:r>
    </w:p>
    <w:p w:rsidR="00481B13" w:rsidRPr="002C5245" w:rsidRDefault="00481B13" w:rsidP="002C5245">
      <w:pPr>
        <w:pStyle w:val="ECHRPara"/>
        <w:rPr>
          <w:lang w:val="fr-FR"/>
        </w:rPr>
      </w:pPr>
      <w:r w:rsidRPr="002C5245">
        <w:rPr>
          <w:lang w:val="fr-FR"/>
        </w:rPr>
        <w:t>4.  L</w:t>
      </w:r>
      <w:r w:rsidR="002C5245" w:rsidRPr="002C5245">
        <w:rPr>
          <w:lang w:val="fr-FR"/>
        </w:rPr>
        <w:t>’</w:t>
      </w:r>
      <w:r w:rsidRPr="002C5245">
        <w:rPr>
          <w:lang w:val="fr-FR"/>
        </w:rPr>
        <w:t>administration municipale de Rome (Roma Capitale), par délibération du 22 mai 2014, adopta un nouveau plan d</w:t>
      </w:r>
      <w:r w:rsidR="002C5245" w:rsidRPr="002C5245">
        <w:rPr>
          <w:lang w:val="fr-FR"/>
        </w:rPr>
        <w:t>’</w:t>
      </w:r>
      <w:r w:rsidRPr="002C5245">
        <w:rPr>
          <w:lang w:val="fr-FR"/>
        </w:rPr>
        <w:t>intervention en matière de logement, prévoyant en particulier le lancement du programme dénommé « </w:t>
      </w:r>
      <w:r w:rsidRPr="002C5245">
        <w:rPr>
          <w:i/>
          <w:lang w:val="fr-FR"/>
        </w:rPr>
        <w:t>Buono Casa</w:t>
      </w:r>
      <w:r w:rsidRPr="002C5245">
        <w:rPr>
          <w:lang w:val="fr-FR"/>
        </w:rPr>
        <w:t> » de soutien financier aux familles ayant manifesté la volonté de sortir des CAAT pour accéder à des solutions de logement plus stables. À la fin du mois de juin 2015, 253 familles avaient manifesté leur intérêt à participer au programme.</w:t>
      </w:r>
    </w:p>
    <w:p w:rsidR="00481B13" w:rsidRPr="002C5245" w:rsidRDefault="00481B13" w:rsidP="002C5245">
      <w:pPr>
        <w:pStyle w:val="ECHRPara"/>
        <w:rPr>
          <w:lang w:val="fr-FR"/>
        </w:rPr>
      </w:pPr>
      <w:r w:rsidRPr="002C5245">
        <w:rPr>
          <w:lang w:val="fr-FR"/>
        </w:rPr>
        <w:t>5.  Par délibération du 12 novembre 2015, Roma Capitale décida de rende le programme « </w:t>
      </w:r>
      <w:r w:rsidRPr="002C5245">
        <w:rPr>
          <w:i/>
          <w:lang w:val="fr-FR"/>
        </w:rPr>
        <w:t>Buono casa</w:t>
      </w:r>
      <w:r w:rsidRPr="002C5245">
        <w:rPr>
          <w:lang w:val="fr-FR"/>
        </w:rPr>
        <w:t> » obligatoire pour tous les occupants des CAAT, l</w:t>
      </w:r>
      <w:r w:rsidR="002C5245" w:rsidRPr="002C5245">
        <w:rPr>
          <w:lang w:val="fr-FR"/>
        </w:rPr>
        <w:t>’</w:t>
      </w:r>
      <w:r w:rsidRPr="002C5245">
        <w:rPr>
          <w:lang w:val="fr-FR"/>
        </w:rPr>
        <w:t>objectif affiché étant de parvenir à la fermeture définitive de ces structures.</w:t>
      </w:r>
    </w:p>
    <w:p w:rsidR="00481B13" w:rsidRPr="002C5245" w:rsidRDefault="00D56C02" w:rsidP="002C5245">
      <w:pPr>
        <w:pStyle w:val="ECHRHeading3"/>
        <w:rPr>
          <w:lang w:val="fr-FR"/>
        </w:rPr>
      </w:pPr>
      <w:r w:rsidRPr="002C5245">
        <w:rPr>
          <w:lang w:val="fr-FR"/>
        </w:rPr>
        <w:t>2.  </w:t>
      </w:r>
      <w:r w:rsidR="00481B13" w:rsidRPr="002C5245">
        <w:rPr>
          <w:lang w:val="fr-FR"/>
        </w:rPr>
        <w:t>La situation des requérantes</w:t>
      </w:r>
    </w:p>
    <w:p w:rsidR="00481B13" w:rsidRPr="002C5245" w:rsidRDefault="00481B13" w:rsidP="002C5245">
      <w:pPr>
        <w:pStyle w:val="ECHRPara"/>
        <w:rPr>
          <w:lang w:val="fr-FR"/>
        </w:rPr>
      </w:pPr>
      <w:r w:rsidRPr="002C5245">
        <w:rPr>
          <w:lang w:val="fr-FR"/>
        </w:rPr>
        <w:t>6.  Les deux requérantes s</w:t>
      </w:r>
      <w:r w:rsidR="002C5245" w:rsidRPr="002C5245">
        <w:rPr>
          <w:lang w:val="fr-FR"/>
        </w:rPr>
        <w:t>’</w:t>
      </w:r>
      <w:r w:rsidRPr="002C5245">
        <w:rPr>
          <w:lang w:val="fr-FR"/>
        </w:rPr>
        <w:t>étaient installées dans le CAAT « </w:t>
      </w:r>
      <w:r w:rsidRPr="002C5245">
        <w:rPr>
          <w:i/>
          <w:lang w:val="fr-FR"/>
        </w:rPr>
        <w:t>Ex</w:t>
      </w:r>
      <w:r w:rsidR="0094075E" w:rsidRPr="002C5245">
        <w:rPr>
          <w:i/>
          <w:lang w:val="fr-FR"/>
        </w:rPr>
        <w:noBreakHyphen/>
      </w:r>
      <w:r w:rsidRPr="002C5245">
        <w:rPr>
          <w:i/>
          <w:lang w:val="fr-FR"/>
        </w:rPr>
        <w:t>Cartiera</w:t>
      </w:r>
      <w:r w:rsidRPr="002C5245">
        <w:rPr>
          <w:lang w:val="fr-FR"/>
        </w:rPr>
        <w:t> » le 10 septembre 2011.</w:t>
      </w:r>
    </w:p>
    <w:p w:rsidR="00481B13" w:rsidRPr="002C5245" w:rsidRDefault="00481B13" w:rsidP="002C5245">
      <w:pPr>
        <w:pStyle w:val="ECHRPara"/>
        <w:rPr>
          <w:lang w:val="fr-FR"/>
        </w:rPr>
      </w:pPr>
      <w:r w:rsidRPr="002C5245">
        <w:rPr>
          <w:lang w:val="fr-FR"/>
        </w:rPr>
        <w:t>7.  Le 25 novembre 2012, la première requérante, M</w:t>
      </w:r>
      <w:r w:rsidRPr="002C5245">
        <w:rPr>
          <w:vertAlign w:val="superscript"/>
          <w:lang w:val="fr-FR"/>
        </w:rPr>
        <w:t>me</w:t>
      </w:r>
      <w:r w:rsidRPr="002C5245">
        <w:rPr>
          <w:lang w:val="fr-FR"/>
        </w:rPr>
        <w:t xml:space="preserve"> Petrache, fut reconnue handicapée par un médecin de l</w:t>
      </w:r>
      <w:r w:rsidR="002C5245" w:rsidRPr="002C5245">
        <w:rPr>
          <w:lang w:val="fr-FR"/>
        </w:rPr>
        <w:t>’</w:t>
      </w:r>
      <w:r w:rsidRPr="002C5245">
        <w:rPr>
          <w:lang w:val="fr-FR"/>
        </w:rPr>
        <w:t>Institut National de Sécurité Sociale - INPS. Le médecin certifia la surdimutité de celle-ci et son incapacité à accomplir les tâches quotidiennes de manière autonome.</w:t>
      </w:r>
    </w:p>
    <w:p w:rsidR="00481B13" w:rsidRPr="002C5245" w:rsidRDefault="00481B13" w:rsidP="002C5245">
      <w:pPr>
        <w:pStyle w:val="ECHRPara"/>
        <w:rPr>
          <w:lang w:val="fr-FR"/>
        </w:rPr>
      </w:pPr>
      <w:r w:rsidRPr="002C5245">
        <w:rPr>
          <w:lang w:val="fr-FR"/>
        </w:rPr>
        <w:t>8.  Le 14 mars 2016, à la suite de leur refus d</w:t>
      </w:r>
      <w:r w:rsidR="002C5245" w:rsidRPr="002C5245">
        <w:rPr>
          <w:lang w:val="fr-FR"/>
        </w:rPr>
        <w:t>’</w:t>
      </w:r>
      <w:r w:rsidRPr="002C5245">
        <w:rPr>
          <w:lang w:val="fr-FR"/>
        </w:rPr>
        <w:t>accéder au programme « </w:t>
      </w:r>
      <w:r w:rsidRPr="002C5245">
        <w:rPr>
          <w:i/>
          <w:lang w:val="fr-FR"/>
        </w:rPr>
        <w:t>Buono casa</w:t>
      </w:r>
      <w:r w:rsidRPr="002C5245">
        <w:rPr>
          <w:lang w:val="fr-FR"/>
        </w:rPr>
        <w:t> », Roma Capitale signifia aux requérantes un ordre de quitter les lieux et fixa comme date d</w:t>
      </w:r>
      <w:r w:rsidR="002C5245" w:rsidRPr="002C5245">
        <w:rPr>
          <w:lang w:val="fr-FR"/>
        </w:rPr>
        <w:t>’</w:t>
      </w:r>
      <w:r w:rsidRPr="002C5245">
        <w:rPr>
          <w:lang w:val="fr-FR"/>
        </w:rPr>
        <w:t>exécution le 28 mars 2016. Bien que faisant partie du même foyer, la fille et la petite fille de M</w:t>
      </w:r>
      <w:r w:rsidRPr="002C5245">
        <w:rPr>
          <w:vertAlign w:val="superscript"/>
          <w:lang w:val="fr-FR"/>
        </w:rPr>
        <w:t>me</w:t>
      </w:r>
      <w:r w:rsidRPr="002C5245">
        <w:rPr>
          <w:lang w:val="fr-FR"/>
        </w:rPr>
        <w:t xml:space="preserve"> Tranca ne furent pas concernées par cet ordre.</w:t>
      </w:r>
    </w:p>
    <w:p w:rsidR="00481B13" w:rsidRPr="002C5245" w:rsidRDefault="00481B13" w:rsidP="002C5245">
      <w:pPr>
        <w:pStyle w:val="ECHRPara"/>
        <w:rPr>
          <w:lang w:val="fr-FR"/>
        </w:rPr>
      </w:pPr>
      <w:r w:rsidRPr="002C5245">
        <w:rPr>
          <w:lang w:val="fr-FR"/>
        </w:rPr>
        <w:t>9.  Le 24 mars 2016, les requérantes saisirent la Cour d</w:t>
      </w:r>
      <w:r w:rsidR="002C5245" w:rsidRPr="002C5245">
        <w:rPr>
          <w:lang w:val="fr-FR"/>
        </w:rPr>
        <w:t>’</w:t>
      </w:r>
      <w:r w:rsidRPr="002C5245">
        <w:rPr>
          <w:lang w:val="fr-FR"/>
        </w:rPr>
        <w:t>une demande d</w:t>
      </w:r>
      <w:r w:rsidR="002C5245" w:rsidRPr="002C5245">
        <w:rPr>
          <w:lang w:val="fr-FR"/>
        </w:rPr>
        <w:t>’</w:t>
      </w:r>
      <w:r w:rsidRPr="002C5245">
        <w:rPr>
          <w:lang w:val="fr-FR"/>
        </w:rPr>
        <w:t>application de mesures provisoires, aux termes de l</w:t>
      </w:r>
      <w:r w:rsidR="002C5245" w:rsidRPr="002C5245">
        <w:rPr>
          <w:lang w:val="fr-FR"/>
        </w:rPr>
        <w:t>’</w:t>
      </w:r>
      <w:r w:rsidRPr="002C5245">
        <w:rPr>
          <w:lang w:val="fr-FR"/>
        </w:rPr>
        <w:t>article 39 du règlement, afin de suspendre leur expulsion du CAAT. Le même jour, le juge faisant fonction de président de la section à laquelle l</w:t>
      </w:r>
      <w:r w:rsidR="002C5245" w:rsidRPr="002C5245">
        <w:rPr>
          <w:lang w:val="fr-FR"/>
        </w:rPr>
        <w:t>’</w:t>
      </w:r>
      <w:r w:rsidRPr="002C5245">
        <w:rPr>
          <w:lang w:val="fr-FR"/>
        </w:rPr>
        <w:t>affaire avait été attribuée décida d</w:t>
      </w:r>
      <w:r w:rsidR="002C5245" w:rsidRPr="002C5245">
        <w:rPr>
          <w:lang w:val="fr-FR"/>
        </w:rPr>
        <w:t>’</w:t>
      </w:r>
      <w:r w:rsidRPr="002C5245">
        <w:rPr>
          <w:lang w:val="fr-FR"/>
        </w:rPr>
        <w:t>indiquer au gouvernement italien qu</w:t>
      </w:r>
      <w:r w:rsidR="002C5245" w:rsidRPr="002C5245">
        <w:rPr>
          <w:lang w:val="fr-FR"/>
        </w:rPr>
        <w:t>’</w:t>
      </w:r>
      <w:r w:rsidRPr="002C5245">
        <w:rPr>
          <w:lang w:val="fr-FR"/>
        </w:rPr>
        <w:t>il était souhaitable de ne pas procéder à l</w:t>
      </w:r>
      <w:r w:rsidR="002C5245" w:rsidRPr="002C5245">
        <w:rPr>
          <w:lang w:val="fr-FR"/>
        </w:rPr>
        <w:t>’</w:t>
      </w:r>
      <w:r w:rsidRPr="002C5245">
        <w:rPr>
          <w:lang w:val="fr-FR"/>
        </w:rPr>
        <w:t>expulsion des requérantes pour la durée de la procédure devant la Cour. De plus, la question suivante fut posée au gouvernement italien, en application de l</w:t>
      </w:r>
      <w:r w:rsidR="002C5245" w:rsidRPr="002C5245">
        <w:rPr>
          <w:lang w:val="fr-FR"/>
        </w:rPr>
        <w:t>’</w:t>
      </w:r>
      <w:r w:rsidRPr="002C5245">
        <w:rPr>
          <w:lang w:val="fr-FR"/>
        </w:rPr>
        <w:t>article 54 § 2 dudit règlement :</w:t>
      </w:r>
    </w:p>
    <w:p w:rsidR="00481B13" w:rsidRPr="002C5245" w:rsidRDefault="00481B13" w:rsidP="002C5245">
      <w:pPr>
        <w:pStyle w:val="ECHRParaQuote"/>
        <w:rPr>
          <w:i/>
        </w:rPr>
      </w:pPr>
      <w:r w:rsidRPr="002C5245">
        <w:rPr>
          <w:i/>
        </w:rPr>
        <w:t>« Has alternative accommodation been offered to the applicants, taking into account the first applicant</w:t>
      </w:r>
      <w:r w:rsidR="002C5245" w:rsidRPr="002C5245">
        <w:rPr>
          <w:i/>
        </w:rPr>
        <w:t>’</w:t>
      </w:r>
      <w:r w:rsidRPr="002C5245">
        <w:rPr>
          <w:i/>
        </w:rPr>
        <w:t>s vulnerability? »</w:t>
      </w:r>
    </w:p>
    <w:p w:rsidR="00481B13" w:rsidRPr="002C5245" w:rsidRDefault="00481B13" w:rsidP="002C5245">
      <w:pPr>
        <w:pStyle w:val="ECHRPara"/>
        <w:rPr>
          <w:lang w:val="fr-FR"/>
        </w:rPr>
      </w:pPr>
      <w:bookmarkStart w:id="1" w:name="réponse_gouvernement"/>
      <w:r w:rsidRPr="002C5245">
        <w:rPr>
          <w:lang w:val="fr-FR"/>
        </w:rPr>
        <w:t>10</w:t>
      </w:r>
      <w:bookmarkEnd w:id="1"/>
      <w:r w:rsidRPr="002C5245">
        <w:rPr>
          <w:lang w:val="fr-FR"/>
        </w:rPr>
        <w:t>.  Le 21 avril 2016, le gouvernement italien apporta à la Cour les informations suivantes:</w:t>
      </w:r>
    </w:p>
    <w:p w:rsidR="00481B13" w:rsidRPr="002C5245" w:rsidRDefault="00481B13" w:rsidP="002C5245">
      <w:pPr>
        <w:pStyle w:val="ECHRParaQuote"/>
        <w:rPr>
          <w:lang w:val="fr-FR"/>
        </w:rPr>
      </w:pPr>
      <w:r w:rsidRPr="002C5245">
        <w:rPr>
          <w:lang w:val="fr-FR"/>
        </w:rPr>
        <w:lastRenderedPageBreak/>
        <w:t>« 1. Faisant suite à votre courrier du 24 mars dernier, nous avons l</w:t>
      </w:r>
      <w:r w:rsidR="002C5245" w:rsidRPr="002C5245">
        <w:rPr>
          <w:lang w:val="fr-FR"/>
        </w:rPr>
        <w:t>’</w:t>
      </w:r>
      <w:r w:rsidRPr="002C5245">
        <w:rPr>
          <w:lang w:val="fr-FR"/>
        </w:rPr>
        <w:t>honneur de vous informer que, déjà le 25 mars 2016, le Département des Politiques sociales, d</w:t>
      </w:r>
      <w:r w:rsidR="002C5245" w:rsidRPr="002C5245">
        <w:rPr>
          <w:lang w:val="fr-FR"/>
        </w:rPr>
        <w:t>’</w:t>
      </w:r>
      <w:r w:rsidRPr="002C5245">
        <w:rPr>
          <w:lang w:val="fr-FR"/>
        </w:rPr>
        <w:t>Aide et de Santé de Roma Capitale a révoqué pour certaines familles, concernées par le déménagement du centre d</w:t>
      </w:r>
      <w:r w:rsidR="002C5245" w:rsidRPr="002C5245">
        <w:rPr>
          <w:lang w:val="fr-FR"/>
        </w:rPr>
        <w:t>’</w:t>
      </w:r>
      <w:r w:rsidRPr="002C5245">
        <w:rPr>
          <w:lang w:val="fr-FR"/>
        </w:rPr>
        <w:t>accueil d</w:t>
      </w:r>
      <w:r w:rsidR="002C5245" w:rsidRPr="002C5245">
        <w:rPr>
          <w:lang w:val="fr-FR"/>
        </w:rPr>
        <w:t>’</w:t>
      </w:r>
      <w:r w:rsidRPr="002C5245">
        <w:rPr>
          <w:lang w:val="fr-FR"/>
        </w:rPr>
        <w:t>urgence de Via Salaria (le CAAT « </w:t>
      </w:r>
      <w:r w:rsidRPr="002C5245">
        <w:rPr>
          <w:i/>
          <w:lang w:val="fr-FR"/>
        </w:rPr>
        <w:t>Ex-Cartiera</w:t>
      </w:r>
      <w:r w:rsidRPr="002C5245">
        <w:rPr>
          <w:lang w:val="fr-FR"/>
        </w:rPr>
        <w:t> »), les ordres de quitter les lieux, en considération de leur vulnérabilité.</w:t>
      </w:r>
    </w:p>
    <w:p w:rsidR="00481B13" w:rsidRPr="002C5245" w:rsidRDefault="00481B13" w:rsidP="002C5245">
      <w:pPr>
        <w:pStyle w:val="ECHRParaQuote"/>
        <w:rPr>
          <w:lang w:val="fr-FR"/>
        </w:rPr>
      </w:pPr>
      <w:r w:rsidRPr="002C5245">
        <w:rPr>
          <w:lang w:val="fr-FR"/>
        </w:rPr>
        <w:t>2. Cela a concerné, notamment, M</w:t>
      </w:r>
      <w:r w:rsidRPr="002C5245">
        <w:rPr>
          <w:vertAlign w:val="superscript"/>
          <w:lang w:val="fr-FR"/>
        </w:rPr>
        <w:t>mes</w:t>
      </w:r>
      <w:r w:rsidRPr="002C5245">
        <w:rPr>
          <w:lang w:val="fr-FR"/>
        </w:rPr>
        <w:t xml:space="preserve"> Liliana Tranca et Elena Petrache et leur groupe familial, pour lesquelles l</w:t>
      </w:r>
      <w:r w:rsidR="002C5245" w:rsidRPr="002C5245">
        <w:rPr>
          <w:lang w:val="fr-FR"/>
        </w:rPr>
        <w:t>’</w:t>
      </w:r>
      <w:r w:rsidRPr="002C5245">
        <w:rPr>
          <w:lang w:val="fr-FR"/>
        </w:rPr>
        <w:t>ordre (...) a été expressément révoqué comme indiqué aux intéressées le 25 mars 2016.</w:t>
      </w:r>
    </w:p>
    <w:p w:rsidR="00481B13" w:rsidRPr="002C5245" w:rsidRDefault="00481B13" w:rsidP="002C5245">
      <w:pPr>
        <w:pStyle w:val="ECHRParaQuote"/>
        <w:rPr>
          <w:lang w:val="fr-FR"/>
        </w:rPr>
      </w:pPr>
      <w:r w:rsidRPr="002C5245">
        <w:rPr>
          <w:lang w:val="fr-FR"/>
        </w:rPr>
        <w:t>3. Le département de Roma Capitale précité a, entretemps, déployé ses efforts pour trouver un hébergement convenable pour cette famille. À cette fin, il a été rapidement trouvé dans le Villaggio della Solidarietà (...), toujours à Rome, un logement destiné exclusivement à ce groupe familial, disposant d</w:t>
      </w:r>
      <w:r w:rsidR="002C5245" w:rsidRPr="002C5245">
        <w:rPr>
          <w:lang w:val="fr-FR"/>
        </w:rPr>
        <w:t>’</w:t>
      </w:r>
      <w:r w:rsidRPr="002C5245">
        <w:rPr>
          <w:lang w:val="fr-FR"/>
        </w:rPr>
        <w:t>espaces pour le jour et la nuit, une cuisine et des toilettes séparées. Cependant, les requérantes ont refusé cette offre, comme il ressort du procès-verbal que nous joignons.</w:t>
      </w:r>
    </w:p>
    <w:p w:rsidR="00481B13" w:rsidRPr="002C5245" w:rsidRDefault="00481B13" w:rsidP="002C5245">
      <w:pPr>
        <w:pStyle w:val="ECHRParaQuote"/>
        <w:rPr>
          <w:lang w:val="fr-FR"/>
        </w:rPr>
      </w:pPr>
      <w:r w:rsidRPr="002C5245">
        <w:rPr>
          <w:lang w:val="fr-FR"/>
        </w:rPr>
        <w:t>4. Eu égard à la question posée par la Cour dans la communication du 24 mars 2016, nous pouvons répondre que, compte tenu de la situation de vulnérabilité de la première requérante, un logement approprié a été mis à disposition pour le groupe familial de quatre personnes (dont un mineur, Antonio Giscan, né le 5 avril 2006), mais cet hébergement adéquat a été refusé par les requérantes. »</w:t>
      </w:r>
    </w:p>
    <w:p w:rsidR="00481B13" w:rsidRPr="002C5245" w:rsidRDefault="00481B13" w:rsidP="002C5245">
      <w:pPr>
        <w:pStyle w:val="ECHRPara"/>
        <w:rPr>
          <w:lang w:val="fr-FR"/>
        </w:rPr>
      </w:pPr>
      <w:r w:rsidRPr="002C5245">
        <w:rPr>
          <w:lang w:val="fr-FR"/>
        </w:rPr>
        <w:t>11.  Le 26 mai 2016, les requérantes, invitées à soumettre leurs éventuels commentaires, déposèrent leur réplique dont les passages pertinents se lisent comme suit :</w:t>
      </w:r>
    </w:p>
    <w:p w:rsidR="00481B13" w:rsidRPr="002C5245" w:rsidRDefault="00481B13" w:rsidP="002C5245">
      <w:pPr>
        <w:pStyle w:val="ECHRParaQuote"/>
        <w:rPr>
          <w:lang w:val="fr-FR"/>
        </w:rPr>
      </w:pPr>
      <w:r w:rsidRPr="002C5245">
        <w:rPr>
          <w:lang w:val="fr-FR"/>
        </w:rPr>
        <w:t>« (...) 3. Les requérantes dénoncent que le Villaggio della Solidarietà – Camping River (la solution proposée par le Gouvernement) est un site de ségrégation raciale, dégradé et inadapté.</w:t>
      </w:r>
    </w:p>
    <w:p w:rsidR="00481B13" w:rsidRPr="002C5245" w:rsidRDefault="00481B13" w:rsidP="002C5245">
      <w:pPr>
        <w:pStyle w:val="ECHRParaQuote"/>
        <w:rPr>
          <w:lang w:val="fr-FR"/>
        </w:rPr>
      </w:pPr>
      <w:r w:rsidRPr="002C5245">
        <w:rPr>
          <w:lang w:val="fr-FR"/>
        </w:rPr>
        <w:t xml:space="preserve"> (...)</w:t>
      </w:r>
    </w:p>
    <w:p w:rsidR="00481B13" w:rsidRPr="002C5245" w:rsidRDefault="00481B13" w:rsidP="002C5245">
      <w:pPr>
        <w:pStyle w:val="ECHRParaQuote"/>
        <w:rPr>
          <w:lang w:val="fr-FR"/>
        </w:rPr>
      </w:pPr>
      <w:r w:rsidRPr="002C5245">
        <w:rPr>
          <w:lang w:val="fr-FR"/>
        </w:rPr>
        <w:t>5. Le Villaggio della Solidarietà est situé à dix kilomètres du lieu de résidence actuelle des requérantes. Les requérantes notent également qu</w:t>
      </w:r>
      <w:r w:rsidR="002C5245" w:rsidRPr="002C5245">
        <w:rPr>
          <w:lang w:val="fr-FR"/>
        </w:rPr>
        <w:t>’</w:t>
      </w:r>
      <w:r w:rsidRPr="002C5245">
        <w:rPr>
          <w:lang w:val="fr-FR"/>
        </w:rPr>
        <w:t>il s</w:t>
      </w:r>
      <w:r w:rsidR="002C5245" w:rsidRPr="002C5245">
        <w:rPr>
          <w:lang w:val="fr-FR"/>
        </w:rPr>
        <w:t>’</w:t>
      </w:r>
      <w:r w:rsidRPr="002C5245">
        <w:rPr>
          <w:lang w:val="fr-FR"/>
        </w:rPr>
        <w:t>agit d</w:t>
      </w:r>
      <w:r w:rsidR="002C5245" w:rsidRPr="002C5245">
        <w:rPr>
          <w:lang w:val="fr-FR"/>
        </w:rPr>
        <w:t>’</w:t>
      </w:r>
      <w:r w:rsidRPr="002C5245">
        <w:rPr>
          <w:lang w:val="fr-FR"/>
        </w:rPr>
        <w:t>un site officiel destiné uniquement aux personnes d</w:t>
      </w:r>
      <w:r w:rsidR="002C5245" w:rsidRPr="002C5245">
        <w:rPr>
          <w:lang w:val="fr-FR"/>
        </w:rPr>
        <w:t>’</w:t>
      </w:r>
      <w:r w:rsidRPr="002C5245">
        <w:rPr>
          <w:lang w:val="fr-FR"/>
        </w:rPr>
        <w:t>ethnie rom. (...)</w:t>
      </w:r>
    </w:p>
    <w:p w:rsidR="00481B13" w:rsidRPr="002C5245" w:rsidRDefault="00481B13" w:rsidP="002C5245">
      <w:pPr>
        <w:pStyle w:val="ECHRParaQuote"/>
        <w:rPr>
          <w:lang w:val="fr-FR"/>
        </w:rPr>
      </w:pPr>
      <w:r w:rsidRPr="002C5245">
        <w:rPr>
          <w:lang w:val="fr-FR"/>
        </w:rPr>
        <w:t>8. (...) L</w:t>
      </w:r>
      <w:r w:rsidR="002C5245" w:rsidRPr="002C5245">
        <w:rPr>
          <w:lang w:val="fr-FR"/>
        </w:rPr>
        <w:t>’</w:t>
      </w:r>
      <w:r w:rsidRPr="002C5245">
        <w:rPr>
          <w:lang w:val="fr-FR"/>
        </w:rPr>
        <w:t>arrêt du bus le plus proche se trouve à 2,1 kilomètres (...) la gare la plus proche à 3,6 kilomètres. Les occupants du site indiquent qu</w:t>
      </w:r>
      <w:r w:rsidR="002C5245" w:rsidRPr="002C5245">
        <w:rPr>
          <w:lang w:val="fr-FR"/>
        </w:rPr>
        <w:t>’</w:t>
      </w:r>
      <w:r w:rsidRPr="002C5245">
        <w:rPr>
          <w:lang w:val="fr-FR"/>
        </w:rPr>
        <w:t>un service « informel » de minibus est proposé de 7 heures à 21 heures 30 pour rejoindre la gare de Prima Porta. D</w:t>
      </w:r>
      <w:r w:rsidR="002C5245" w:rsidRPr="002C5245">
        <w:rPr>
          <w:lang w:val="fr-FR"/>
        </w:rPr>
        <w:t>’</w:t>
      </w:r>
      <w:r w:rsidRPr="002C5245">
        <w:rPr>
          <w:lang w:val="fr-FR"/>
        </w:rPr>
        <w:t>après l</w:t>
      </w:r>
      <w:r w:rsidR="002C5245" w:rsidRPr="002C5245">
        <w:rPr>
          <w:lang w:val="fr-FR"/>
        </w:rPr>
        <w:t>’</w:t>
      </w:r>
      <w:r w:rsidRPr="002C5245">
        <w:rPr>
          <w:lang w:val="fr-FR"/>
        </w:rPr>
        <w:t>association « 21 luglio » qui a visité le site en mai 2016, le minibus n</w:t>
      </w:r>
      <w:r w:rsidR="002C5245" w:rsidRPr="002C5245">
        <w:rPr>
          <w:lang w:val="fr-FR"/>
        </w:rPr>
        <w:t>’</w:t>
      </w:r>
      <w:r w:rsidRPr="002C5245">
        <w:rPr>
          <w:lang w:val="fr-FR"/>
        </w:rPr>
        <w:t>est pas adapté à transporter des personnes handicapées comme la première requérante.</w:t>
      </w:r>
    </w:p>
    <w:p w:rsidR="00481B13" w:rsidRPr="002C5245" w:rsidRDefault="00481B13" w:rsidP="002C5245">
      <w:pPr>
        <w:pStyle w:val="ECHRParaQuote"/>
        <w:rPr>
          <w:lang w:val="fr-FR"/>
        </w:rPr>
      </w:pPr>
      <w:r w:rsidRPr="002C5245">
        <w:rPr>
          <w:lang w:val="fr-FR"/>
        </w:rPr>
        <w:t>(...)</w:t>
      </w:r>
    </w:p>
    <w:p w:rsidR="00481B13" w:rsidRPr="002C5245" w:rsidRDefault="00481B13" w:rsidP="002C5245">
      <w:pPr>
        <w:pStyle w:val="ECHRParaQuote"/>
        <w:rPr>
          <w:lang w:val="fr-FR"/>
        </w:rPr>
      </w:pPr>
      <w:r w:rsidRPr="002C5245">
        <w:rPr>
          <w:lang w:val="fr-FR"/>
        </w:rPr>
        <w:t>11. Le site est entouré de grillage, la vidéosurveillance est active en continu et, pour accéder au site, les visiteurs doivent être invités par les occupants et être autorisés par le Département des Politiques sociales, d</w:t>
      </w:r>
      <w:r w:rsidR="002C5245" w:rsidRPr="002C5245">
        <w:rPr>
          <w:lang w:val="fr-FR"/>
        </w:rPr>
        <w:t>’</w:t>
      </w:r>
      <w:r w:rsidRPr="002C5245">
        <w:rPr>
          <w:lang w:val="fr-FR"/>
        </w:rPr>
        <w:t>Aide et de Santé de Roma Capitale. Un registre indique l</w:t>
      </w:r>
      <w:r w:rsidR="002C5245" w:rsidRPr="002C5245">
        <w:rPr>
          <w:lang w:val="fr-FR"/>
        </w:rPr>
        <w:t>’</w:t>
      </w:r>
      <w:r w:rsidRPr="002C5245">
        <w:rPr>
          <w:lang w:val="fr-FR"/>
        </w:rPr>
        <w:t>heure d</w:t>
      </w:r>
      <w:r w:rsidR="002C5245" w:rsidRPr="002C5245">
        <w:rPr>
          <w:lang w:val="fr-FR"/>
        </w:rPr>
        <w:t>’</w:t>
      </w:r>
      <w:r w:rsidRPr="002C5245">
        <w:rPr>
          <w:lang w:val="fr-FR"/>
        </w:rPr>
        <w:t>entrée et de sortie ainsi que les noms des visiteurs. (...) »</w:t>
      </w:r>
    </w:p>
    <w:p w:rsidR="00481B13" w:rsidRPr="002C5245" w:rsidRDefault="00481B13" w:rsidP="002C5245">
      <w:pPr>
        <w:pStyle w:val="ECHRPara"/>
        <w:rPr>
          <w:lang w:val="fr-FR"/>
        </w:rPr>
      </w:pPr>
      <w:r w:rsidRPr="002C5245">
        <w:rPr>
          <w:lang w:val="fr-FR"/>
        </w:rPr>
        <w:t>12.  Le même jour, les requérantes informèrent la Cour qu</w:t>
      </w:r>
      <w:r w:rsidR="002C5245" w:rsidRPr="002C5245">
        <w:rPr>
          <w:lang w:val="fr-FR"/>
        </w:rPr>
        <w:t>’</w:t>
      </w:r>
      <w:r w:rsidRPr="002C5245">
        <w:rPr>
          <w:lang w:val="fr-FR"/>
        </w:rPr>
        <w:t>un recours en annulation de l</w:t>
      </w:r>
      <w:r w:rsidR="002C5245" w:rsidRPr="002C5245">
        <w:rPr>
          <w:lang w:val="fr-FR"/>
        </w:rPr>
        <w:t>’</w:t>
      </w:r>
      <w:r w:rsidRPr="002C5245">
        <w:rPr>
          <w:lang w:val="fr-FR"/>
        </w:rPr>
        <w:t>ordre de quitter les lieux avait été déposé, à une date non précisée, devant le tribunal administratif régional (le TAR) du Latium.</w:t>
      </w:r>
    </w:p>
    <w:p w:rsidR="00481B13" w:rsidRPr="002C5245" w:rsidRDefault="00481B13" w:rsidP="002C5245">
      <w:pPr>
        <w:pStyle w:val="ECHRPara"/>
        <w:rPr>
          <w:lang w:val="fr-FR"/>
        </w:rPr>
      </w:pPr>
      <w:r w:rsidRPr="002C5245">
        <w:rPr>
          <w:lang w:val="fr-FR"/>
        </w:rPr>
        <w:t>13.  Les 8 et 9 juin 2016, le Département des Politiques sociales, d</w:t>
      </w:r>
      <w:r w:rsidR="002C5245" w:rsidRPr="002C5245">
        <w:rPr>
          <w:lang w:val="fr-FR"/>
        </w:rPr>
        <w:t>’</w:t>
      </w:r>
      <w:r w:rsidRPr="002C5245">
        <w:rPr>
          <w:lang w:val="fr-FR"/>
        </w:rPr>
        <w:t xml:space="preserve">Aide et de Santé de Roma Capitale rencontra les requérantes et les autres </w:t>
      </w:r>
      <w:r w:rsidRPr="002C5245">
        <w:rPr>
          <w:lang w:val="fr-FR"/>
        </w:rPr>
        <w:lastRenderedPageBreak/>
        <w:t>résidants du site « </w:t>
      </w:r>
      <w:r w:rsidRPr="002C5245">
        <w:rPr>
          <w:i/>
          <w:lang w:val="fr-FR"/>
        </w:rPr>
        <w:t>Ex-Cartiera</w:t>
      </w:r>
      <w:r w:rsidRPr="002C5245">
        <w:rPr>
          <w:lang w:val="fr-FR"/>
        </w:rPr>
        <w:t> » dans le but de convaincre ceux-ci à accepter des alternatives de logement et quitter le CAAT.</w:t>
      </w:r>
    </w:p>
    <w:p w:rsidR="00481B13" w:rsidRPr="002C5245" w:rsidRDefault="00481B13" w:rsidP="002C5245">
      <w:pPr>
        <w:pStyle w:val="ECHRPara"/>
        <w:rPr>
          <w:lang w:val="fr-FR"/>
        </w:rPr>
      </w:pPr>
      <w:r w:rsidRPr="002C5245">
        <w:rPr>
          <w:lang w:val="fr-FR"/>
        </w:rPr>
        <w:t>14.  Le 10 juin 2016, les requérantes informèrent la Cour des derniers développements de l</w:t>
      </w:r>
      <w:r w:rsidR="002C5245" w:rsidRPr="002C5245">
        <w:rPr>
          <w:lang w:val="fr-FR"/>
        </w:rPr>
        <w:t>’</w:t>
      </w:r>
      <w:r w:rsidRPr="002C5245">
        <w:rPr>
          <w:lang w:val="fr-FR"/>
        </w:rPr>
        <w:t>affaire, notamment du fait que le TAR du Latium avait rejeté leur demande de mesures collégiales de suspension (</w:t>
      </w:r>
      <w:r w:rsidRPr="002C5245">
        <w:rPr>
          <w:i/>
          <w:lang w:val="fr-FR"/>
        </w:rPr>
        <w:t>misure cautelari collegiali</w:t>
      </w:r>
      <w:r w:rsidRPr="002C5245">
        <w:rPr>
          <w:lang w:val="fr-FR"/>
        </w:rPr>
        <w:t>) de l</w:t>
      </w:r>
      <w:r w:rsidR="002C5245" w:rsidRPr="002C5245">
        <w:rPr>
          <w:lang w:val="fr-FR"/>
        </w:rPr>
        <w:t>’</w:t>
      </w:r>
      <w:r w:rsidRPr="002C5245">
        <w:rPr>
          <w:lang w:val="fr-FR"/>
        </w:rPr>
        <w:t>ordre de quitter les lieux, en relevant que l</w:t>
      </w:r>
      <w:r w:rsidR="002C5245" w:rsidRPr="002C5245">
        <w:rPr>
          <w:lang w:val="fr-FR"/>
        </w:rPr>
        <w:t>’</w:t>
      </w:r>
      <w:r w:rsidRPr="002C5245">
        <w:rPr>
          <w:lang w:val="fr-FR"/>
        </w:rPr>
        <w:t>acte litigieux avait été suspendu par Roma Capitale le 25 mars 2016 (paragraphe 10 ci-dessus).</w:t>
      </w:r>
    </w:p>
    <w:p w:rsidR="00481B13" w:rsidRPr="002C5245" w:rsidRDefault="00481B13" w:rsidP="002C5245">
      <w:pPr>
        <w:pStyle w:val="ECHRPara"/>
        <w:rPr>
          <w:lang w:val="fr-FR"/>
        </w:rPr>
      </w:pPr>
      <w:bookmarkStart w:id="2" w:name="réponse_gouvernement_TAR_LATIUM"/>
      <w:r w:rsidRPr="002C5245">
        <w:rPr>
          <w:lang w:val="fr-FR"/>
        </w:rPr>
        <w:t>15</w:t>
      </w:r>
      <w:bookmarkEnd w:id="2"/>
      <w:r w:rsidRPr="002C5245">
        <w:rPr>
          <w:lang w:val="fr-FR"/>
        </w:rPr>
        <w:t>.  Le 8 juillet 2016, le gouvernement italien confirma avoir présenté aux requérantes des nouvelles propositions de logement. Il fournit également copie du décret du président du TAR du Latium du 25 mars 2016, faisant droit à une demande de mesures présidentielles de suspension (</w:t>
      </w:r>
      <w:r w:rsidRPr="002C5245">
        <w:rPr>
          <w:i/>
          <w:lang w:val="fr-FR"/>
        </w:rPr>
        <w:t>misure cautelari monocratiche</w:t>
      </w:r>
      <w:r w:rsidRPr="002C5245">
        <w:rPr>
          <w:lang w:val="fr-FR"/>
        </w:rPr>
        <w:t>) de cinq ordres de quitter les lieux présentée par des personnes résidantes dans le CAAT « </w:t>
      </w:r>
      <w:r w:rsidRPr="002C5245">
        <w:rPr>
          <w:i/>
          <w:lang w:val="fr-FR"/>
        </w:rPr>
        <w:t>Ex-Cartiera</w:t>
      </w:r>
      <w:r w:rsidRPr="002C5245">
        <w:rPr>
          <w:lang w:val="fr-FR"/>
        </w:rPr>
        <w:t> ».</w:t>
      </w:r>
    </w:p>
    <w:p w:rsidR="00481B13" w:rsidRPr="002C5245" w:rsidRDefault="00481B13" w:rsidP="002C5245">
      <w:pPr>
        <w:pStyle w:val="ECHRPara"/>
        <w:rPr>
          <w:lang w:val="fr-FR"/>
        </w:rPr>
      </w:pPr>
      <w:r w:rsidRPr="002C5245">
        <w:rPr>
          <w:lang w:val="fr-FR"/>
        </w:rPr>
        <w:t>16.  Selon les dernières informations fournies par les requérantes, le recours en annulation de l</w:t>
      </w:r>
      <w:r w:rsidR="002C5245" w:rsidRPr="002C5245">
        <w:rPr>
          <w:lang w:val="fr-FR"/>
        </w:rPr>
        <w:t>’</w:t>
      </w:r>
      <w:r w:rsidRPr="002C5245">
        <w:rPr>
          <w:lang w:val="fr-FR"/>
        </w:rPr>
        <w:t>ordre de quitter les lieux est toujours pendant devant le TAR du Latium.</w:t>
      </w:r>
    </w:p>
    <w:p w:rsidR="00481B13" w:rsidRPr="002C5245" w:rsidRDefault="00481B13" w:rsidP="002C5245">
      <w:pPr>
        <w:pStyle w:val="ECHRHeading2"/>
        <w:rPr>
          <w:lang w:val="fr-FR"/>
        </w:rPr>
      </w:pPr>
      <w:r w:rsidRPr="002C5245">
        <w:rPr>
          <w:lang w:val="fr-FR"/>
        </w:rPr>
        <w:t>B.  Le droit interne pertinent</w:t>
      </w:r>
    </w:p>
    <w:p w:rsidR="00481B13" w:rsidRPr="002C5245" w:rsidRDefault="00481B13" w:rsidP="002C5245">
      <w:pPr>
        <w:pStyle w:val="ECHRPara"/>
        <w:rPr>
          <w:lang w:val="fr-FR"/>
        </w:rPr>
      </w:pPr>
      <w:bookmarkStart w:id="3" w:name="article_55"/>
      <w:r w:rsidRPr="002C5245">
        <w:rPr>
          <w:lang w:val="fr-FR"/>
        </w:rPr>
        <w:t>17</w:t>
      </w:r>
      <w:bookmarkEnd w:id="3"/>
      <w:r w:rsidRPr="002C5245">
        <w:rPr>
          <w:lang w:val="fr-FR"/>
        </w:rPr>
        <w:t>.  L</w:t>
      </w:r>
      <w:r w:rsidR="002C5245" w:rsidRPr="002C5245">
        <w:rPr>
          <w:lang w:val="fr-FR"/>
        </w:rPr>
        <w:t>’</w:t>
      </w:r>
      <w:r w:rsidRPr="002C5245">
        <w:rPr>
          <w:lang w:val="fr-FR"/>
        </w:rPr>
        <w:t>article 55 du code du procès administratif (CPA) est, dans ses parties pertinentes, ainsi libellé :</w:t>
      </w:r>
    </w:p>
    <w:p w:rsidR="00481B13" w:rsidRPr="002C5245" w:rsidRDefault="00481B13" w:rsidP="002C5245">
      <w:pPr>
        <w:pStyle w:val="ECHRParaQuote"/>
        <w:rPr>
          <w:lang w:val="fr-FR"/>
        </w:rPr>
      </w:pPr>
      <w:r w:rsidRPr="002C5245">
        <w:rPr>
          <w:lang w:val="fr-FR"/>
        </w:rPr>
        <w:t>« Mesures collégiales de suspension (</w:t>
      </w:r>
      <w:r w:rsidRPr="002C5245">
        <w:rPr>
          <w:i/>
          <w:lang w:val="fr-FR"/>
        </w:rPr>
        <w:t>misure cautelari collegiali</w:t>
      </w:r>
      <w:r w:rsidRPr="002C5245">
        <w:rPr>
          <w:lang w:val="fr-FR"/>
        </w:rPr>
        <w:t>)</w:t>
      </w:r>
    </w:p>
    <w:p w:rsidR="00481B13" w:rsidRPr="002C5245" w:rsidRDefault="00481B13" w:rsidP="002C5245">
      <w:pPr>
        <w:pStyle w:val="ECHRParaQuote"/>
        <w:rPr>
          <w:lang w:val="fr-FR"/>
        </w:rPr>
      </w:pPr>
      <w:r w:rsidRPr="002C5245">
        <w:rPr>
          <w:lang w:val="fr-FR"/>
        </w:rPr>
        <w:t>1. La partie alléguant le risque de subir un préjudice grave et irréparable pendant le temps nécessaire au tribunal à statuer sur son recours peut demander l</w:t>
      </w:r>
      <w:r w:rsidR="002C5245" w:rsidRPr="002C5245">
        <w:rPr>
          <w:lang w:val="fr-FR"/>
        </w:rPr>
        <w:t>’</w:t>
      </w:r>
      <w:r w:rsidRPr="002C5245">
        <w:rPr>
          <w:lang w:val="fr-FR"/>
        </w:rPr>
        <w:t>application de mesures de suspension, (...) le collège se réunit en chambre du conseil et décide par ordonnance.</w:t>
      </w:r>
    </w:p>
    <w:p w:rsidR="00481B13" w:rsidRPr="002C5245" w:rsidRDefault="00481B13" w:rsidP="002C5245">
      <w:pPr>
        <w:pStyle w:val="ECHRParaQuote"/>
        <w:rPr>
          <w:lang w:val="fr-FR"/>
        </w:rPr>
      </w:pPr>
      <w:r w:rsidRPr="002C5245">
        <w:rPr>
          <w:lang w:val="fr-FR"/>
        </w:rPr>
        <w:t>(...)</w:t>
      </w:r>
    </w:p>
    <w:p w:rsidR="00481B13" w:rsidRPr="002C5245" w:rsidRDefault="00481B13" w:rsidP="002C5245">
      <w:pPr>
        <w:pStyle w:val="ECHRParaQuote"/>
        <w:rPr>
          <w:lang w:val="fr-FR"/>
        </w:rPr>
      </w:pPr>
      <w:r w:rsidRPr="002C5245">
        <w:rPr>
          <w:lang w:val="fr-FR"/>
        </w:rPr>
        <w:t>3. La demande de suspension peut être présentée avec le recours au fond ou avec un recours séparé notifié aux parties.</w:t>
      </w:r>
    </w:p>
    <w:p w:rsidR="00481B13" w:rsidRPr="002C5245" w:rsidRDefault="00481B13" w:rsidP="002C5245">
      <w:pPr>
        <w:pStyle w:val="ECHRParaQuote"/>
        <w:rPr>
          <w:lang w:val="fr-FR"/>
        </w:rPr>
      </w:pPr>
      <w:r w:rsidRPr="002C5245">
        <w:rPr>
          <w:lang w:val="fr-FR"/>
        </w:rPr>
        <w:t>(...)</w:t>
      </w:r>
    </w:p>
    <w:p w:rsidR="00481B13" w:rsidRPr="002C5245" w:rsidRDefault="00481B13" w:rsidP="002C5245">
      <w:pPr>
        <w:pStyle w:val="ECHRParaQuote"/>
        <w:rPr>
          <w:lang w:val="fr-FR"/>
        </w:rPr>
      </w:pPr>
      <w:r w:rsidRPr="002C5245">
        <w:rPr>
          <w:lang w:val="fr-FR"/>
        </w:rPr>
        <w:t>5. Sur la demande de suspension, le collège se prononce pendant la première chambre du conseil successive à l</w:t>
      </w:r>
      <w:r w:rsidR="002C5245" w:rsidRPr="002C5245">
        <w:rPr>
          <w:lang w:val="fr-FR"/>
        </w:rPr>
        <w:t>’</w:t>
      </w:r>
      <w:r w:rsidRPr="002C5245">
        <w:rPr>
          <w:lang w:val="fr-FR"/>
        </w:rPr>
        <w:t>expiration du délai de vingt jours calculé à partir de la date de la notification du recours aux parties et, aussi, de dix jours à partir de la date du dépôt du recours.</w:t>
      </w:r>
    </w:p>
    <w:p w:rsidR="00481B13" w:rsidRPr="002C5245" w:rsidRDefault="00481B13" w:rsidP="002C5245">
      <w:pPr>
        <w:pStyle w:val="ECHRParaQuote"/>
        <w:rPr>
          <w:lang w:val="fr-FR"/>
        </w:rPr>
      </w:pPr>
      <w:r w:rsidRPr="002C5245">
        <w:rPr>
          <w:lang w:val="fr-FR"/>
        </w:rPr>
        <w:t>(...) »</w:t>
      </w:r>
    </w:p>
    <w:p w:rsidR="00481B13" w:rsidRPr="002C5245" w:rsidRDefault="00481B13" w:rsidP="002C5245">
      <w:pPr>
        <w:pStyle w:val="ECHRPara"/>
        <w:rPr>
          <w:lang w:val="fr-FR"/>
        </w:rPr>
      </w:pPr>
      <w:bookmarkStart w:id="4" w:name="article_56"/>
      <w:r w:rsidRPr="002C5245">
        <w:rPr>
          <w:lang w:val="fr-FR"/>
        </w:rPr>
        <w:t>18</w:t>
      </w:r>
      <w:bookmarkEnd w:id="4"/>
      <w:r w:rsidRPr="002C5245">
        <w:rPr>
          <w:lang w:val="fr-FR"/>
        </w:rPr>
        <w:t>.  L</w:t>
      </w:r>
      <w:r w:rsidR="002C5245" w:rsidRPr="002C5245">
        <w:rPr>
          <w:lang w:val="fr-FR"/>
        </w:rPr>
        <w:t>’</w:t>
      </w:r>
      <w:r w:rsidRPr="002C5245">
        <w:rPr>
          <w:lang w:val="fr-FR"/>
        </w:rPr>
        <w:t>article 56 du CPA est, dans ses parties pertinentes, ainsi libellé :</w:t>
      </w:r>
    </w:p>
    <w:p w:rsidR="00481B13" w:rsidRPr="002C5245" w:rsidRDefault="00481B13" w:rsidP="002C5245">
      <w:pPr>
        <w:pStyle w:val="ECHRParaQuote"/>
        <w:rPr>
          <w:lang w:val="fr-FR"/>
        </w:rPr>
      </w:pPr>
      <w:r w:rsidRPr="002C5245">
        <w:rPr>
          <w:lang w:val="fr-FR"/>
        </w:rPr>
        <w:t>« Mesures présidentielles de suspension (</w:t>
      </w:r>
      <w:r w:rsidRPr="002C5245">
        <w:rPr>
          <w:i/>
          <w:lang w:val="fr-FR"/>
        </w:rPr>
        <w:t>misure cauterali monocratiche</w:t>
      </w:r>
      <w:r w:rsidRPr="002C5245">
        <w:rPr>
          <w:lang w:val="fr-FR"/>
        </w:rPr>
        <w:t>)</w:t>
      </w:r>
    </w:p>
    <w:p w:rsidR="00481B13" w:rsidRPr="002C5245" w:rsidRDefault="00481B13" w:rsidP="002C5245">
      <w:pPr>
        <w:pStyle w:val="ECHRParaQuote"/>
        <w:rPr>
          <w:lang w:val="fr-FR"/>
        </w:rPr>
      </w:pPr>
      <w:r w:rsidRPr="002C5245">
        <w:rPr>
          <w:lang w:val="fr-FR"/>
        </w:rPr>
        <w:t>1. Avant le traitement d</w:t>
      </w:r>
      <w:r w:rsidR="002C5245" w:rsidRPr="002C5245">
        <w:rPr>
          <w:lang w:val="fr-FR"/>
        </w:rPr>
        <w:t>’</w:t>
      </w:r>
      <w:r w:rsidRPr="002C5245">
        <w:rPr>
          <w:lang w:val="fr-FR"/>
        </w:rPr>
        <w:t>une demande de mesures collégiales de suspension, en cas d</w:t>
      </w:r>
      <w:r w:rsidR="002C5245" w:rsidRPr="002C5245">
        <w:rPr>
          <w:lang w:val="fr-FR"/>
        </w:rPr>
        <w:t>’</w:t>
      </w:r>
      <w:r w:rsidRPr="002C5245">
        <w:rPr>
          <w:lang w:val="fr-FR"/>
        </w:rPr>
        <w:t>extrême gravité et urgence ne permettant pas d</w:t>
      </w:r>
      <w:r w:rsidR="002C5245" w:rsidRPr="002C5245">
        <w:rPr>
          <w:lang w:val="fr-FR"/>
        </w:rPr>
        <w:t>’</w:t>
      </w:r>
      <w:r w:rsidRPr="002C5245">
        <w:rPr>
          <w:lang w:val="fr-FR"/>
        </w:rPr>
        <w:t>attendre la décision du collège, la partie peut saisir le président du tribunal administratif régional ou de la section à laquelle la requête est attribuée d</w:t>
      </w:r>
      <w:r w:rsidR="002C5245" w:rsidRPr="002C5245">
        <w:rPr>
          <w:lang w:val="fr-FR"/>
        </w:rPr>
        <w:t>’</w:t>
      </w:r>
      <w:r w:rsidRPr="002C5245">
        <w:rPr>
          <w:lang w:val="fr-FR"/>
        </w:rPr>
        <w:t>une demande d</w:t>
      </w:r>
      <w:r w:rsidR="002C5245" w:rsidRPr="002C5245">
        <w:rPr>
          <w:lang w:val="fr-FR"/>
        </w:rPr>
        <w:t>’</w:t>
      </w:r>
      <w:r w:rsidRPr="002C5245">
        <w:rPr>
          <w:lang w:val="fr-FR"/>
        </w:rPr>
        <w:t>application de mesures de suspension (...).</w:t>
      </w:r>
    </w:p>
    <w:p w:rsidR="00481B13" w:rsidRPr="002C5245" w:rsidRDefault="00481B13" w:rsidP="002C5245">
      <w:pPr>
        <w:pStyle w:val="ECHRParaQuote"/>
        <w:rPr>
          <w:lang w:val="fr-FR"/>
        </w:rPr>
      </w:pPr>
      <w:r w:rsidRPr="002C5245">
        <w:rPr>
          <w:lang w:val="fr-FR"/>
        </w:rPr>
        <w:lastRenderedPageBreak/>
        <w:t>2. Le président ou le magistrat délégué vérifie la régularité de la notification de la requête aux autres parties, ou tout au moins à l</w:t>
      </w:r>
      <w:r w:rsidR="002C5245" w:rsidRPr="002C5245">
        <w:rPr>
          <w:lang w:val="fr-FR"/>
        </w:rPr>
        <w:t>’</w:t>
      </w:r>
      <w:r w:rsidRPr="002C5245">
        <w:rPr>
          <w:lang w:val="fr-FR"/>
        </w:rPr>
        <w:t>encontre de la partie publique et d</w:t>
      </w:r>
      <w:r w:rsidR="002C5245" w:rsidRPr="002C5245">
        <w:rPr>
          <w:lang w:val="fr-FR"/>
        </w:rPr>
        <w:t>’</w:t>
      </w:r>
      <w:r w:rsidRPr="002C5245">
        <w:rPr>
          <w:lang w:val="fr-FR"/>
        </w:rPr>
        <w:t>un des autres cointéressés, et décide par décret dûment motivé qui ne peut pas faire l</w:t>
      </w:r>
      <w:r w:rsidR="002C5245" w:rsidRPr="002C5245">
        <w:rPr>
          <w:lang w:val="fr-FR"/>
        </w:rPr>
        <w:t>’</w:t>
      </w:r>
      <w:r w:rsidRPr="002C5245">
        <w:rPr>
          <w:lang w:val="fr-FR"/>
        </w:rPr>
        <w:t>objet d</w:t>
      </w:r>
      <w:r w:rsidR="002C5245" w:rsidRPr="002C5245">
        <w:rPr>
          <w:lang w:val="fr-FR"/>
        </w:rPr>
        <w:t>’</w:t>
      </w:r>
      <w:r w:rsidRPr="002C5245">
        <w:rPr>
          <w:lang w:val="fr-FR"/>
        </w:rPr>
        <w:t>appel. La notification peut être effectuée par l</w:t>
      </w:r>
      <w:r w:rsidR="002C5245" w:rsidRPr="002C5245">
        <w:rPr>
          <w:lang w:val="fr-FR"/>
        </w:rPr>
        <w:t>’</w:t>
      </w:r>
      <w:r w:rsidRPr="002C5245">
        <w:rPr>
          <w:lang w:val="fr-FR"/>
        </w:rPr>
        <w:t>avocat de la partie demanderesse par télécopie. (...).</w:t>
      </w:r>
    </w:p>
    <w:p w:rsidR="00481B13" w:rsidRPr="002C5245" w:rsidRDefault="00481B13" w:rsidP="002C5245">
      <w:pPr>
        <w:pStyle w:val="ECHRParaQuote"/>
        <w:rPr>
          <w:lang w:val="fr-FR"/>
        </w:rPr>
      </w:pPr>
      <w:r w:rsidRPr="002C5245">
        <w:rPr>
          <w:lang w:val="fr-FR"/>
        </w:rPr>
        <w:t>3. Lorsque la décision peut produire des effets irréversibles, le président peut subordonner l</w:t>
      </w:r>
      <w:r w:rsidR="002C5245" w:rsidRPr="002C5245">
        <w:rPr>
          <w:lang w:val="fr-FR"/>
        </w:rPr>
        <w:t>’</w:t>
      </w:r>
      <w:r w:rsidRPr="002C5245">
        <w:rPr>
          <w:lang w:val="fr-FR"/>
        </w:rPr>
        <w:t>application ou le refus de la mesure au versement d</w:t>
      </w:r>
      <w:r w:rsidR="002C5245" w:rsidRPr="002C5245">
        <w:rPr>
          <w:lang w:val="fr-FR"/>
        </w:rPr>
        <w:t>’</w:t>
      </w:r>
      <w:r w:rsidRPr="002C5245">
        <w:rPr>
          <w:lang w:val="fr-FR"/>
        </w:rPr>
        <w:t>une somme à titre de caution (...) dont le montant est fixé en fonction des effets irréversibles éventuels à l</w:t>
      </w:r>
      <w:r w:rsidR="002C5245" w:rsidRPr="002C5245">
        <w:rPr>
          <w:lang w:val="fr-FR"/>
        </w:rPr>
        <w:t>’</w:t>
      </w:r>
      <w:r w:rsidRPr="002C5245">
        <w:rPr>
          <w:lang w:val="fr-FR"/>
        </w:rPr>
        <w:t>égard des parties et des tierces-parties.</w:t>
      </w:r>
    </w:p>
    <w:p w:rsidR="00481B13" w:rsidRPr="002C5245" w:rsidRDefault="00481B13" w:rsidP="002C5245">
      <w:pPr>
        <w:pStyle w:val="ECHRParaQuote"/>
        <w:rPr>
          <w:lang w:val="fr-FR"/>
        </w:rPr>
      </w:pPr>
      <w:r w:rsidRPr="002C5245">
        <w:rPr>
          <w:lang w:val="fr-FR"/>
        </w:rPr>
        <w:t>4. Le décret, dans lequel doit être fixée la date de l</w:t>
      </w:r>
      <w:r w:rsidR="002C5245" w:rsidRPr="002C5245">
        <w:rPr>
          <w:lang w:val="fr-FR"/>
        </w:rPr>
        <w:t>’</w:t>
      </w:r>
      <w:r w:rsidRPr="002C5245">
        <w:rPr>
          <w:lang w:val="fr-FR"/>
        </w:rPr>
        <w:t>audience du collège aux termes de l</w:t>
      </w:r>
      <w:r w:rsidR="002C5245" w:rsidRPr="002C5245">
        <w:rPr>
          <w:lang w:val="fr-FR"/>
        </w:rPr>
        <w:t>’</w:t>
      </w:r>
      <w:r w:rsidRPr="002C5245">
        <w:rPr>
          <w:lang w:val="fr-FR"/>
        </w:rPr>
        <w:t>article 55, alinéa 5, si applique la mesure est valable jusqu</w:t>
      </w:r>
      <w:r w:rsidR="002C5245" w:rsidRPr="002C5245">
        <w:rPr>
          <w:lang w:val="fr-FR"/>
        </w:rPr>
        <w:t>’</w:t>
      </w:r>
      <w:r w:rsidRPr="002C5245">
        <w:rPr>
          <w:lang w:val="fr-FR"/>
        </w:rPr>
        <w:t>à la décision du collège (...) ».</w:t>
      </w:r>
    </w:p>
    <w:p w:rsidR="00481B13" w:rsidRPr="002C5245" w:rsidRDefault="00481B13" w:rsidP="002C5245">
      <w:pPr>
        <w:pStyle w:val="ECHRTitle1"/>
        <w:rPr>
          <w:lang w:val="fr-FR"/>
        </w:rPr>
      </w:pPr>
      <w:r w:rsidRPr="002C5245">
        <w:rPr>
          <w:lang w:val="fr-FR"/>
        </w:rPr>
        <w:t>GRIEFS</w:t>
      </w:r>
    </w:p>
    <w:p w:rsidR="00481B13" w:rsidRPr="002C5245" w:rsidRDefault="00481B13" w:rsidP="002C5245">
      <w:pPr>
        <w:pStyle w:val="ECHRPara"/>
        <w:rPr>
          <w:lang w:val="fr-FR"/>
        </w:rPr>
      </w:pPr>
      <w:r w:rsidRPr="002C5245">
        <w:rPr>
          <w:lang w:val="fr-FR"/>
        </w:rPr>
        <w:t>19.  Invoquant l</w:t>
      </w:r>
      <w:r w:rsidR="002C5245" w:rsidRPr="002C5245">
        <w:rPr>
          <w:lang w:val="fr-FR"/>
        </w:rPr>
        <w:t>’</w:t>
      </w:r>
      <w:r w:rsidRPr="002C5245">
        <w:rPr>
          <w:lang w:val="fr-FR"/>
        </w:rPr>
        <w:t>article 3 de la Convention, les requérantes se plaignent de la menace représentée par l</w:t>
      </w:r>
      <w:r w:rsidR="002C5245" w:rsidRPr="002C5245">
        <w:rPr>
          <w:lang w:val="fr-FR"/>
        </w:rPr>
        <w:t>’</w:t>
      </w:r>
      <w:r w:rsidRPr="002C5245">
        <w:rPr>
          <w:lang w:val="fr-FR"/>
        </w:rPr>
        <w:t>ordre de quitter les lieux qui serait constitutive d</w:t>
      </w:r>
      <w:r w:rsidR="002C5245" w:rsidRPr="002C5245">
        <w:rPr>
          <w:lang w:val="fr-FR"/>
        </w:rPr>
        <w:t>’</w:t>
      </w:r>
      <w:r w:rsidRPr="002C5245">
        <w:rPr>
          <w:lang w:val="fr-FR"/>
        </w:rPr>
        <w:t>un traitement inhumain et dégradant.</w:t>
      </w:r>
    </w:p>
    <w:p w:rsidR="00481B13" w:rsidRPr="002C5245" w:rsidRDefault="00481B13" w:rsidP="002C5245">
      <w:pPr>
        <w:pStyle w:val="ECHRPara"/>
        <w:rPr>
          <w:lang w:val="fr-FR"/>
        </w:rPr>
      </w:pPr>
      <w:r w:rsidRPr="002C5245">
        <w:rPr>
          <w:lang w:val="fr-FR"/>
        </w:rPr>
        <w:t>20.  Invoquant l</w:t>
      </w:r>
      <w:r w:rsidR="002C5245" w:rsidRPr="002C5245">
        <w:rPr>
          <w:lang w:val="fr-FR"/>
        </w:rPr>
        <w:t>’</w:t>
      </w:r>
      <w:r w:rsidRPr="002C5245">
        <w:rPr>
          <w:lang w:val="fr-FR"/>
        </w:rPr>
        <w:t>article 8, elles dénoncent pour les mêmes faits une atteinte à leur droit au respect de la vie familiale et du domicile, en raison notamment de l</w:t>
      </w:r>
      <w:r w:rsidR="002C5245" w:rsidRPr="002C5245">
        <w:rPr>
          <w:lang w:val="fr-FR"/>
        </w:rPr>
        <w:t>’</w:t>
      </w:r>
      <w:r w:rsidRPr="002C5245">
        <w:rPr>
          <w:lang w:val="fr-FR"/>
        </w:rPr>
        <w:t>absence de base légale de l</w:t>
      </w:r>
      <w:r w:rsidR="002C5245" w:rsidRPr="002C5245">
        <w:rPr>
          <w:lang w:val="fr-FR"/>
        </w:rPr>
        <w:t>’</w:t>
      </w:r>
      <w:r w:rsidRPr="002C5245">
        <w:rPr>
          <w:lang w:val="fr-FR"/>
        </w:rPr>
        <w:t>ordre de quitter les lieux et de son caractère disproportionné.</w:t>
      </w:r>
    </w:p>
    <w:p w:rsidR="00481B13" w:rsidRPr="002C5245" w:rsidRDefault="00481B13" w:rsidP="002C5245">
      <w:pPr>
        <w:pStyle w:val="ECHRPara"/>
        <w:rPr>
          <w:lang w:val="fr-FR"/>
        </w:rPr>
      </w:pPr>
      <w:r w:rsidRPr="002C5245">
        <w:rPr>
          <w:lang w:val="fr-FR"/>
        </w:rPr>
        <w:t>21.  Invoquant l</w:t>
      </w:r>
      <w:r w:rsidR="002C5245" w:rsidRPr="002C5245">
        <w:rPr>
          <w:lang w:val="fr-FR"/>
        </w:rPr>
        <w:t>’</w:t>
      </w:r>
      <w:r w:rsidRPr="002C5245">
        <w:rPr>
          <w:lang w:val="fr-FR"/>
        </w:rPr>
        <w:t>article 13, les requérantes se plaignent de l</w:t>
      </w:r>
      <w:r w:rsidR="002C5245" w:rsidRPr="002C5245">
        <w:rPr>
          <w:lang w:val="fr-FR"/>
        </w:rPr>
        <w:t>’</w:t>
      </w:r>
      <w:r w:rsidRPr="002C5245">
        <w:rPr>
          <w:lang w:val="fr-FR"/>
        </w:rPr>
        <w:t>absence d</w:t>
      </w:r>
      <w:r w:rsidR="002C5245" w:rsidRPr="002C5245">
        <w:rPr>
          <w:lang w:val="fr-FR"/>
        </w:rPr>
        <w:t>’</w:t>
      </w:r>
      <w:r w:rsidRPr="002C5245">
        <w:rPr>
          <w:lang w:val="fr-FR"/>
        </w:rPr>
        <w:t>un remède interne suspensif pour contester l</w:t>
      </w:r>
      <w:r w:rsidR="002C5245" w:rsidRPr="002C5245">
        <w:rPr>
          <w:lang w:val="fr-FR"/>
        </w:rPr>
        <w:t>’</w:t>
      </w:r>
      <w:r w:rsidRPr="002C5245">
        <w:rPr>
          <w:lang w:val="fr-FR"/>
        </w:rPr>
        <w:t>ordre de quitter les lieux.</w:t>
      </w:r>
    </w:p>
    <w:p w:rsidR="00481B13" w:rsidRPr="002C5245" w:rsidRDefault="00481B13" w:rsidP="002C5245">
      <w:pPr>
        <w:pStyle w:val="ECHRPara"/>
        <w:rPr>
          <w:lang w:val="fr-FR"/>
        </w:rPr>
      </w:pPr>
      <w:r w:rsidRPr="002C5245">
        <w:rPr>
          <w:lang w:val="fr-FR"/>
        </w:rPr>
        <w:t>22.  Elles invoquent également l</w:t>
      </w:r>
      <w:r w:rsidR="002C5245" w:rsidRPr="002C5245">
        <w:rPr>
          <w:lang w:val="fr-FR"/>
        </w:rPr>
        <w:t>’</w:t>
      </w:r>
      <w:r w:rsidRPr="002C5245">
        <w:rPr>
          <w:lang w:val="fr-FR"/>
        </w:rPr>
        <w:t>article 14, dénonçant d</w:t>
      </w:r>
      <w:r w:rsidR="002C5245" w:rsidRPr="002C5245">
        <w:rPr>
          <w:lang w:val="fr-FR"/>
        </w:rPr>
        <w:t>’</w:t>
      </w:r>
      <w:r w:rsidRPr="002C5245">
        <w:rPr>
          <w:lang w:val="fr-FR"/>
        </w:rPr>
        <w:t>être victimes de discrimination en raison de leur appartenance à un groupe ethnique spécifique.</w:t>
      </w:r>
    </w:p>
    <w:p w:rsidR="00481B13" w:rsidRPr="002C5245" w:rsidRDefault="00481B13" w:rsidP="002C5245">
      <w:pPr>
        <w:pStyle w:val="ECHRTitle1"/>
        <w:rPr>
          <w:lang w:val="fr-FR"/>
        </w:rPr>
      </w:pPr>
      <w:r w:rsidRPr="002C5245">
        <w:rPr>
          <w:lang w:val="fr-FR"/>
        </w:rPr>
        <w:t>EN DROIT</w:t>
      </w:r>
    </w:p>
    <w:p w:rsidR="00481B13" w:rsidRPr="002C5245" w:rsidRDefault="00481B13" w:rsidP="002C5245">
      <w:pPr>
        <w:pStyle w:val="ECHRPara"/>
        <w:rPr>
          <w:lang w:val="fr-FR"/>
        </w:rPr>
      </w:pPr>
      <w:r w:rsidRPr="002C5245">
        <w:rPr>
          <w:lang w:val="fr-FR"/>
        </w:rPr>
        <w:t>23.  La Cour rappelle tout d</w:t>
      </w:r>
      <w:r w:rsidR="002C5245" w:rsidRPr="002C5245">
        <w:rPr>
          <w:lang w:val="fr-FR"/>
        </w:rPr>
        <w:t>’</w:t>
      </w:r>
      <w:r w:rsidRPr="002C5245">
        <w:rPr>
          <w:lang w:val="fr-FR"/>
        </w:rPr>
        <w:t>abord qu</w:t>
      </w:r>
      <w:r w:rsidR="002C5245" w:rsidRPr="002C5245">
        <w:rPr>
          <w:lang w:val="fr-FR"/>
        </w:rPr>
        <w:t>’</w:t>
      </w:r>
      <w:r w:rsidRPr="002C5245">
        <w:rPr>
          <w:lang w:val="fr-FR"/>
        </w:rPr>
        <w:t>aux termes de l</w:t>
      </w:r>
      <w:r w:rsidR="002C5245" w:rsidRPr="002C5245">
        <w:rPr>
          <w:lang w:val="fr-FR"/>
        </w:rPr>
        <w:t>’</w:t>
      </w:r>
      <w:r w:rsidRPr="002C5245">
        <w:rPr>
          <w:lang w:val="fr-FR"/>
        </w:rPr>
        <w:t>article 35 § 1 de la Convention, elle ne peut être saisie qu</w:t>
      </w:r>
      <w:r w:rsidR="002C5245" w:rsidRPr="002C5245">
        <w:rPr>
          <w:lang w:val="fr-FR"/>
        </w:rPr>
        <w:t>’</w:t>
      </w:r>
      <w:r w:rsidRPr="002C5245">
        <w:rPr>
          <w:lang w:val="fr-FR"/>
        </w:rPr>
        <w:t>après épuisement de toutes les voies de recours internes. Tout requérant doit avoir donné aux juridictions internes l</w:t>
      </w:r>
      <w:r w:rsidR="002C5245" w:rsidRPr="002C5245">
        <w:rPr>
          <w:lang w:val="fr-FR"/>
        </w:rPr>
        <w:t>’</w:t>
      </w:r>
      <w:r w:rsidRPr="002C5245">
        <w:rPr>
          <w:lang w:val="fr-FR"/>
        </w:rPr>
        <w:t>occasion que cette disposition a pour finalité de ménager en principe aux États contractants, à savoir éviter ou redresser les violations alléguées contre eux (voir, parmi beaucoup d</w:t>
      </w:r>
      <w:r w:rsidR="002C5245" w:rsidRPr="002C5245">
        <w:rPr>
          <w:lang w:val="fr-FR"/>
        </w:rPr>
        <w:t>’</w:t>
      </w:r>
      <w:r w:rsidRPr="002C5245">
        <w:rPr>
          <w:lang w:val="fr-FR"/>
        </w:rPr>
        <w:t xml:space="preserve">autres, </w:t>
      </w:r>
      <w:r w:rsidRPr="002C5245">
        <w:rPr>
          <w:i/>
          <w:lang w:val="fr-FR"/>
        </w:rPr>
        <w:t>McFarlane c. Irlande</w:t>
      </w:r>
      <w:r w:rsidRPr="002C5245">
        <w:rPr>
          <w:lang w:val="fr-FR"/>
        </w:rPr>
        <w:t xml:space="preserve"> [GC], n</w:t>
      </w:r>
      <w:r w:rsidRPr="002C5245">
        <w:rPr>
          <w:vertAlign w:val="superscript"/>
          <w:lang w:val="fr-FR"/>
        </w:rPr>
        <w:t>o</w:t>
      </w:r>
      <w:r w:rsidRPr="002C5245">
        <w:rPr>
          <w:lang w:val="fr-FR"/>
        </w:rPr>
        <w:t xml:space="preserve"> 31333/06, § 107, 10 septembre 2010, </w:t>
      </w:r>
      <w:r w:rsidRPr="002C5245">
        <w:rPr>
          <w:i/>
          <w:lang w:val="fr-FR"/>
        </w:rPr>
        <w:t>Parrillo c. Italie</w:t>
      </w:r>
      <w:r w:rsidRPr="002C5245">
        <w:rPr>
          <w:lang w:val="fr-FR"/>
        </w:rPr>
        <w:t xml:space="preserve"> [GC], n</w:t>
      </w:r>
      <w:r w:rsidRPr="002C5245">
        <w:rPr>
          <w:vertAlign w:val="superscript"/>
          <w:lang w:val="fr-FR"/>
        </w:rPr>
        <w:t>o</w:t>
      </w:r>
      <w:r w:rsidRPr="002C5245">
        <w:rPr>
          <w:lang w:val="fr-FR"/>
        </w:rPr>
        <w:t> 46470/11, § 87, 27 août 2015).</w:t>
      </w:r>
    </w:p>
    <w:p w:rsidR="00481B13" w:rsidRPr="002C5245" w:rsidRDefault="00481B13" w:rsidP="002C5245">
      <w:pPr>
        <w:pStyle w:val="ECHRPara"/>
        <w:rPr>
          <w:szCs w:val="24"/>
          <w:lang w:val="fr-FR"/>
        </w:rPr>
      </w:pPr>
      <w:r w:rsidRPr="002C5245">
        <w:rPr>
          <w:lang w:val="fr-FR"/>
        </w:rPr>
        <w:t>24.  Comme la Cour a rappelé dans l</w:t>
      </w:r>
      <w:r w:rsidR="002C5245" w:rsidRPr="002C5245">
        <w:rPr>
          <w:lang w:val="fr-FR"/>
        </w:rPr>
        <w:t>’</w:t>
      </w:r>
      <w:r w:rsidRPr="002C5245">
        <w:rPr>
          <w:lang w:val="fr-FR"/>
        </w:rPr>
        <w:t xml:space="preserve">arrêt </w:t>
      </w:r>
      <w:r w:rsidRPr="002C5245">
        <w:rPr>
          <w:i/>
          <w:szCs w:val="24"/>
          <w:lang w:val="fr-FR"/>
        </w:rPr>
        <w:t xml:space="preserve">Sejdovic c. Italie </w:t>
      </w:r>
      <w:r w:rsidRPr="002C5245">
        <w:rPr>
          <w:szCs w:val="24"/>
          <w:lang w:val="fr-FR"/>
        </w:rPr>
        <w:t>([GC], n</w:t>
      </w:r>
      <w:r w:rsidRPr="002C5245">
        <w:rPr>
          <w:szCs w:val="24"/>
          <w:vertAlign w:val="superscript"/>
          <w:lang w:val="fr-FR"/>
        </w:rPr>
        <w:t>o</w:t>
      </w:r>
      <w:r w:rsidRPr="002C5245">
        <w:rPr>
          <w:szCs w:val="24"/>
          <w:lang w:val="fr-FR"/>
        </w:rPr>
        <w:t> 56581/00, § 44-46, CEDH 2006</w:t>
      </w:r>
      <w:r w:rsidRPr="002C5245">
        <w:rPr>
          <w:szCs w:val="24"/>
          <w:lang w:val="fr-FR"/>
        </w:rPr>
        <w:noBreakHyphen/>
        <w:t>II), bien qu</w:t>
      </w:r>
      <w:r w:rsidR="002C5245" w:rsidRPr="002C5245">
        <w:rPr>
          <w:szCs w:val="24"/>
          <w:lang w:val="fr-FR"/>
        </w:rPr>
        <w:t>’</w:t>
      </w:r>
      <w:r w:rsidRPr="002C5245">
        <w:rPr>
          <w:szCs w:val="24"/>
          <w:lang w:val="fr-FR"/>
        </w:rPr>
        <w:t>applicable avec une certaine souplesse et sans formalisme excessif, la règle de l</w:t>
      </w:r>
      <w:r w:rsidR="002C5245" w:rsidRPr="002C5245">
        <w:rPr>
          <w:szCs w:val="24"/>
          <w:lang w:val="fr-FR"/>
        </w:rPr>
        <w:t>’</w:t>
      </w:r>
      <w:r w:rsidRPr="002C5245">
        <w:rPr>
          <w:szCs w:val="24"/>
          <w:lang w:val="fr-FR"/>
        </w:rPr>
        <w:t xml:space="preserve">épuisement des voies de recours internes oblige, en principe, à soulever devant les juridictions </w:t>
      </w:r>
      <w:r w:rsidRPr="002C5245">
        <w:rPr>
          <w:szCs w:val="24"/>
          <w:lang w:val="fr-FR"/>
        </w:rPr>
        <w:lastRenderedPageBreak/>
        <w:t>nationales appropriées, au moins en substance, dans les formes et délais prescrits par le droit interne, les griefs que l</w:t>
      </w:r>
      <w:r w:rsidR="002C5245" w:rsidRPr="002C5245">
        <w:rPr>
          <w:szCs w:val="24"/>
          <w:lang w:val="fr-FR"/>
        </w:rPr>
        <w:t>’</w:t>
      </w:r>
      <w:r w:rsidRPr="002C5245">
        <w:rPr>
          <w:szCs w:val="24"/>
          <w:lang w:val="fr-FR"/>
        </w:rPr>
        <w:t>on entend formuler par la suite au niveau international (voir, parmi beaucoup d</w:t>
      </w:r>
      <w:r w:rsidR="002C5245" w:rsidRPr="002C5245">
        <w:rPr>
          <w:szCs w:val="24"/>
          <w:lang w:val="fr-FR"/>
        </w:rPr>
        <w:t>’</w:t>
      </w:r>
      <w:r w:rsidRPr="002C5245">
        <w:rPr>
          <w:szCs w:val="24"/>
          <w:lang w:val="fr-FR"/>
        </w:rPr>
        <w:t xml:space="preserve">autres, </w:t>
      </w:r>
      <w:r w:rsidRPr="002C5245">
        <w:rPr>
          <w:i/>
          <w:szCs w:val="24"/>
          <w:lang w:val="fr-FR"/>
        </w:rPr>
        <w:t>Azinas c. Chypre</w:t>
      </w:r>
      <w:r w:rsidRPr="002C5245">
        <w:rPr>
          <w:szCs w:val="24"/>
          <w:lang w:val="fr-FR"/>
        </w:rPr>
        <w:t xml:space="preserve"> [GC], n</w:t>
      </w:r>
      <w:r w:rsidRPr="002C5245">
        <w:rPr>
          <w:szCs w:val="24"/>
          <w:vertAlign w:val="superscript"/>
          <w:lang w:val="fr-FR"/>
        </w:rPr>
        <w:t>o</w:t>
      </w:r>
      <w:r w:rsidRPr="002C5245">
        <w:rPr>
          <w:szCs w:val="24"/>
          <w:lang w:val="fr-FR"/>
        </w:rPr>
        <w:t xml:space="preserve"> 56679/00, § 38, CEDH 2004-III, et </w:t>
      </w:r>
      <w:r w:rsidRPr="002C5245">
        <w:rPr>
          <w:i/>
          <w:szCs w:val="24"/>
          <w:lang w:val="fr-FR"/>
        </w:rPr>
        <w:t>Fressoz et Roire c. France</w:t>
      </w:r>
      <w:r w:rsidRPr="002C5245">
        <w:rPr>
          <w:szCs w:val="24"/>
          <w:lang w:val="fr-FR"/>
        </w:rPr>
        <w:t xml:space="preserve"> [GC], n</w:t>
      </w:r>
      <w:r w:rsidRPr="002C5245">
        <w:rPr>
          <w:szCs w:val="24"/>
          <w:vertAlign w:val="superscript"/>
          <w:lang w:val="fr-FR"/>
        </w:rPr>
        <w:t>o</w:t>
      </w:r>
      <w:r w:rsidRPr="002C5245">
        <w:rPr>
          <w:szCs w:val="24"/>
          <w:lang w:val="fr-FR"/>
        </w:rPr>
        <w:t xml:space="preserve"> 29183/95, § 37, CEDH 1999-I).</w:t>
      </w:r>
    </w:p>
    <w:p w:rsidR="00481B13" w:rsidRPr="002C5245" w:rsidRDefault="00481B13" w:rsidP="002C5245">
      <w:pPr>
        <w:pStyle w:val="ECHRPara"/>
        <w:rPr>
          <w:szCs w:val="24"/>
          <w:lang w:val="fr-FR"/>
        </w:rPr>
      </w:pPr>
      <w:r w:rsidRPr="002C5245">
        <w:rPr>
          <w:szCs w:val="24"/>
          <w:lang w:val="fr-FR"/>
        </w:rPr>
        <w:t>25.  Cependant, l</w:t>
      </w:r>
      <w:r w:rsidR="002C5245" w:rsidRPr="002C5245">
        <w:rPr>
          <w:szCs w:val="24"/>
          <w:lang w:val="fr-FR"/>
        </w:rPr>
        <w:t>’</w:t>
      </w:r>
      <w:r w:rsidRPr="002C5245">
        <w:rPr>
          <w:szCs w:val="24"/>
          <w:lang w:val="fr-FR"/>
        </w:rPr>
        <w:t>obligation découlant de l</w:t>
      </w:r>
      <w:r w:rsidR="002C5245" w:rsidRPr="002C5245">
        <w:rPr>
          <w:szCs w:val="24"/>
          <w:lang w:val="fr-FR"/>
        </w:rPr>
        <w:t>’</w:t>
      </w:r>
      <w:r w:rsidRPr="002C5245">
        <w:rPr>
          <w:szCs w:val="24"/>
          <w:lang w:val="fr-FR"/>
        </w:rPr>
        <w:t>article 35 se limite à celle de faire un usage normal des recours vraisemblablement effectifs, suffisants et accessibles (</w:t>
      </w:r>
      <w:r w:rsidRPr="002C5245">
        <w:rPr>
          <w:i/>
          <w:szCs w:val="24"/>
          <w:lang w:val="fr-FR"/>
        </w:rPr>
        <w:t>Sofri et autres c. Italie</w:t>
      </w:r>
      <w:r w:rsidRPr="002C5245">
        <w:rPr>
          <w:szCs w:val="24"/>
          <w:lang w:val="fr-FR"/>
        </w:rPr>
        <w:t xml:space="preserve"> (déc.), n</w:t>
      </w:r>
      <w:r w:rsidRPr="002C5245">
        <w:rPr>
          <w:szCs w:val="24"/>
          <w:vertAlign w:val="superscript"/>
          <w:lang w:val="fr-FR"/>
        </w:rPr>
        <w:t>o</w:t>
      </w:r>
      <w:r w:rsidRPr="002C5245">
        <w:rPr>
          <w:szCs w:val="24"/>
          <w:lang w:val="fr-FR"/>
        </w:rPr>
        <w:t xml:space="preserve"> 37235/97, CEDH 2003-VIII). En particulier, la Convention ne prescrit l</w:t>
      </w:r>
      <w:r w:rsidR="002C5245" w:rsidRPr="002C5245">
        <w:rPr>
          <w:szCs w:val="24"/>
          <w:lang w:val="fr-FR"/>
        </w:rPr>
        <w:t>’</w:t>
      </w:r>
      <w:r w:rsidRPr="002C5245">
        <w:rPr>
          <w:szCs w:val="24"/>
          <w:lang w:val="fr-FR"/>
        </w:rPr>
        <w:t>épuisement que des recours à la fois relatifs aux violations incriminées, disponibles et adéquats. Ils doivent exister à un degré suffisant de certitude non seulement en théorie mais aussi en pratique, sans quoi leur manquent l</w:t>
      </w:r>
      <w:r w:rsidR="002C5245" w:rsidRPr="002C5245">
        <w:rPr>
          <w:szCs w:val="24"/>
          <w:lang w:val="fr-FR"/>
        </w:rPr>
        <w:t>’</w:t>
      </w:r>
      <w:r w:rsidRPr="002C5245">
        <w:rPr>
          <w:szCs w:val="24"/>
          <w:lang w:val="fr-FR"/>
        </w:rPr>
        <w:t>effectivité et l</w:t>
      </w:r>
      <w:r w:rsidR="002C5245" w:rsidRPr="002C5245">
        <w:rPr>
          <w:szCs w:val="24"/>
          <w:lang w:val="fr-FR"/>
        </w:rPr>
        <w:t>’</w:t>
      </w:r>
      <w:r w:rsidRPr="002C5245">
        <w:rPr>
          <w:szCs w:val="24"/>
          <w:lang w:val="fr-FR"/>
        </w:rPr>
        <w:t>accessibilité voulues (</w:t>
      </w:r>
      <w:r w:rsidRPr="002C5245">
        <w:rPr>
          <w:i/>
          <w:szCs w:val="24"/>
          <w:lang w:val="fr-FR"/>
        </w:rPr>
        <w:t>Dalia c. France</w:t>
      </w:r>
      <w:r w:rsidRPr="002C5245">
        <w:rPr>
          <w:szCs w:val="24"/>
          <w:lang w:val="fr-FR"/>
        </w:rPr>
        <w:t>, 19 février 1998, § 38, Recueil 1998-I).</w:t>
      </w:r>
    </w:p>
    <w:p w:rsidR="00481B13" w:rsidRPr="002C5245" w:rsidRDefault="00481B13" w:rsidP="002C5245">
      <w:pPr>
        <w:pStyle w:val="ECHRPara"/>
        <w:rPr>
          <w:lang w:val="fr-FR"/>
        </w:rPr>
      </w:pPr>
      <w:r w:rsidRPr="002C5245">
        <w:rPr>
          <w:szCs w:val="24"/>
          <w:lang w:val="fr-FR"/>
        </w:rPr>
        <w:t>26.  Toutefois, le simple fait de nourrir des doutes quant aux perspectives de succès d</w:t>
      </w:r>
      <w:r w:rsidR="002C5245" w:rsidRPr="002C5245">
        <w:rPr>
          <w:szCs w:val="24"/>
          <w:lang w:val="fr-FR"/>
        </w:rPr>
        <w:t>’</w:t>
      </w:r>
      <w:r w:rsidRPr="002C5245">
        <w:rPr>
          <w:szCs w:val="24"/>
          <w:lang w:val="fr-FR"/>
        </w:rPr>
        <w:t>un recours donné qui n</w:t>
      </w:r>
      <w:r w:rsidR="002C5245" w:rsidRPr="002C5245">
        <w:rPr>
          <w:szCs w:val="24"/>
          <w:lang w:val="fr-FR"/>
        </w:rPr>
        <w:t>’</w:t>
      </w:r>
      <w:r w:rsidRPr="002C5245">
        <w:rPr>
          <w:szCs w:val="24"/>
          <w:lang w:val="fr-FR"/>
        </w:rPr>
        <w:t>est pas de toute évidence voué à l</w:t>
      </w:r>
      <w:r w:rsidR="002C5245" w:rsidRPr="002C5245">
        <w:rPr>
          <w:szCs w:val="24"/>
          <w:lang w:val="fr-FR"/>
        </w:rPr>
        <w:t>’</w:t>
      </w:r>
      <w:r w:rsidRPr="002C5245">
        <w:rPr>
          <w:szCs w:val="24"/>
          <w:lang w:val="fr-FR"/>
        </w:rPr>
        <w:t>échec ne constitue pas une raison valable pour justifier la non-utilisation de recours internes (</w:t>
      </w:r>
      <w:r w:rsidRPr="002C5245">
        <w:rPr>
          <w:i/>
          <w:szCs w:val="24"/>
          <w:lang w:val="fr-FR"/>
        </w:rPr>
        <w:t>Sardinas Albo c. Italie</w:t>
      </w:r>
      <w:r w:rsidRPr="002C5245">
        <w:rPr>
          <w:szCs w:val="24"/>
          <w:lang w:val="fr-FR"/>
        </w:rPr>
        <w:t xml:space="preserve"> (déc.), n</w:t>
      </w:r>
      <w:r w:rsidRPr="002C5245">
        <w:rPr>
          <w:szCs w:val="24"/>
          <w:vertAlign w:val="superscript"/>
          <w:lang w:val="fr-FR"/>
        </w:rPr>
        <w:t>o</w:t>
      </w:r>
      <w:r w:rsidRPr="002C5245">
        <w:rPr>
          <w:szCs w:val="24"/>
          <w:lang w:val="fr-FR"/>
        </w:rPr>
        <w:t xml:space="preserve"> 56271/00, CEDH 2004-I, et </w:t>
      </w:r>
      <w:r w:rsidRPr="002C5245">
        <w:rPr>
          <w:i/>
          <w:szCs w:val="24"/>
          <w:lang w:val="fr-FR"/>
        </w:rPr>
        <w:t>Brusco c. Italie</w:t>
      </w:r>
      <w:r w:rsidRPr="002C5245">
        <w:rPr>
          <w:szCs w:val="24"/>
          <w:lang w:val="fr-FR"/>
        </w:rPr>
        <w:t xml:space="preserve"> (déc.), n</w:t>
      </w:r>
      <w:r w:rsidRPr="002C5245">
        <w:rPr>
          <w:szCs w:val="24"/>
          <w:vertAlign w:val="superscript"/>
          <w:lang w:val="fr-FR"/>
        </w:rPr>
        <w:t>o</w:t>
      </w:r>
      <w:r w:rsidRPr="002C5245">
        <w:rPr>
          <w:szCs w:val="24"/>
          <w:lang w:val="fr-FR"/>
        </w:rPr>
        <w:t xml:space="preserve"> 69789/01, CEDH 2001-IX).</w:t>
      </w:r>
    </w:p>
    <w:p w:rsidR="00481B13" w:rsidRPr="002C5245" w:rsidRDefault="00481B13" w:rsidP="002C5245">
      <w:pPr>
        <w:pStyle w:val="ECHRPara"/>
        <w:rPr>
          <w:lang w:val="fr-FR"/>
        </w:rPr>
      </w:pPr>
      <w:r w:rsidRPr="002C5245">
        <w:rPr>
          <w:lang w:val="fr-FR"/>
        </w:rPr>
        <w:t>27.  Dans le cas d</w:t>
      </w:r>
      <w:r w:rsidR="002C5245" w:rsidRPr="002C5245">
        <w:rPr>
          <w:lang w:val="fr-FR"/>
        </w:rPr>
        <w:t>’</w:t>
      </w:r>
      <w:r w:rsidRPr="002C5245">
        <w:rPr>
          <w:lang w:val="fr-FR"/>
        </w:rPr>
        <w:t>espèce, la Cour rappelle que, le 24 mars 2016, elle a décidé d</w:t>
      </w:r>
      <w:r w:rsidR="002C5245" w:rsidRPr="002C5245">
        <w:rPr>
          <w:lang w:val="fr-FR"/>
        </w:rPr>
        <w:t>’</w:t>
      </w:r>
      <w:r w:rsidRPr="002C5245">
        <w:rPr>
          <w:lang w:val="fr-FR"/>
        </w:rPr>
        <w:t>indiquer au gouvernement italien qu</w:t>
      </w:r>
      <w:r w:rsidR="002C5245" w:rsidRPr="002C5245">
        <w:rPr>
          <w:lang w:val="fr-FR"/>
        </w:rPr>
        <w:t>’</w:t>
      </w:r>
      <w:r w:rsidRPr="002C5245">
        <w:rPr>
          <w:lang w:val="fr-FR"/>
        </w:rPr>
        <w:t>il était souhaitable de ne pas procéder à l</w:t>
      </w:r>
      <w:r w:rsidR="002C5245" w:rsidRPr="002C5245">
        <w:rPr>
          <w:lang w:val="fr-FR"/>
        </w:rPr>
        <w:t>’</w:t>
      </w:r>
      <w:r w:rsidRPr="002C5245">
        <w:rPr>
          <w:lang w:val="fr-FR"/>
        </w:rPr>
        <w:t>exécution de l</w:t>
      </w:r>
      <w:r w:rsidR="002C5245" w:rsidRPr="002C5245">
        <w:rPr>
          <w:lang w:val="fr-FR"/>
        </w:rPr>
        <w:t>’</w:t>
      </w:r>
      <w:r w:rsidRPr="002C5245">
        <w:rPr>
          <w:lang w:val="fr-FR"/>
        </w:rPr>
        <w:t>ordre de quitter les lieux des requérantes du CAAT « </w:t>
      </w:r>
      <w:r w:rsidRPr="002C5245">
        <w:rPr>
          <w:i/>
          <w:lang w:val="fr-FR"/>
        </w:rPr>
        <w:t>Ex-Cartiera</w:t>
      </w:r>
      <w:r w:rsidRPr="002C5245">
        <w:rPr>
          <w:lang w:val="fr-FR"/>
        </w:rPr>
        <w:t> » pour la durée de la procédure devant elle.</w:t>
      </w:r>
    </w:p>
    <w:p w:rsidR="00481B13" w:rsidRPr="002C5245" w:rsidRDefault="00481B13" w:rsidP="002C5245">
      <w:pPr>
        <w:pStyle w:val="ECHRPara"/>
        <w:rPr>
          <w:lang w:val="fr-FR"/>
        </w:rPr>
      </w:pPr>
      <w:r w:rsidRPr="002C5245">
        <w:rPr>
          <w:lang w:val="fr-FR"/>
        </w:rPr>
        <w:t>28.  Le 26 mai 2016, les requérantes informèrent la Cour qu</w:t>
      </w:r>
      <w:r w:rsidR="002C5245" w:rsidRPr="002C5245">
        <w:rPr>
          <w:lang w:val="fr-FR"/>
        </w:rPr>
        <w:t>’</w:t>
      </w:r>
      <w:r w:rsidRPr="002C5245">
        <w:rPr>
          <w:lang w:val="fr-FR"/>
        </w:rPr>
        <w:t>un recours en annulation de l</w:t>
      </w:r>
      <w:r w:rsidR="002C5245" w:rsidRPr="002C5245">
        <w:rPr>
          <w:lang w:val="fr-FR"/>
        </w:rPr>
        <w:t>’</w:t>
      </w:r>
      <w:r w:rsidRPr="002C5245">
        <w:rPr>
          <w:lang w:val="fr-FR"/>
        </w:rPr>
        <w:t>ordre de quitter les lieux avait été introduit devant le TAR du Latium.</w:t>
      </w:r>
    </w:p>
    <w:p w:rsidR="00481B13" w:rsidRPr="002C5245" w:rsidRDefault="00481B13" w:rsidP="002C5245">
      <w:pPr>
        <w:pStyle w:val="ECHRPara"/>
        <w:rPr>
          <w:lang w:val="fr-FR"/>
        </w:rPr>
      </w:pPr>
      <w:r w:rsidRPr="002C5245">
        <w:rPr>
          <w:lang w:val="fr-FR"/>
        </w:rPr>
        <w:t>29.  Ce n</w:t>
      </w:r>
      <w:r w:rsidR="002C5245" w:rsidRPr="002C5245">
        <w:rPr>
          <w:lang w:val="fr-FR"/>
        </w:rPr>
        <w:t>’</w:t>
      </w:r>
      <w:r w:rsidRPr="002C5245">
        <w:rPr>
          <w:lang w:val="fr-FR"/>
        </w:rPr>
        <w:t>est que le 10 juin 2016 que les requérantes avisèrent la Cour qu</w:t>
      </w:r>
      <w:r w:rsidR="002C5245" w:rsidRPr="002C5245">
        <w:rPr>
          <w:lang w:val="fr-FR"/>
        </w:rPr>
        <w:t>’</w:t>
      </w:r>
      <w:r w:rsidRPr="002C5245">
        <w:rPr>
          <w:lang w:val="fr-FR"/>
        </w:rPr>
        <w:t>une demande de suspension de l</w:t>
      </w:r>
      <w:r w:rsidR="002C5245" w:rsidRPr="002C5245">
        <w:rPr>
          <w:lang w:val="fr-FR"/>
        </w:rPr>
        <w:t>’</w:t>
      </w:r>
      <w:r w:rsidRPr="002C5245">
        <w:rPr>
          <w:lang w:val="fr-FR"/>
        </w:rPr>
        <w:t>ordre de quitter les lieux, présentée aux termes de l</w:t>
      </w:r>
      <w:r w:rsidR="002C5245" w:rsidRPr="002C5245">
        <w:rPr>
          <w:lang w:val="fr-FR"/>
        </w:rPr>
        <w:t>’</w:t>
      </w:r>
      <w:r w:rsidRPr="002C5245">
        <w:rPr>
          <w:lang w:val="fr-FR"/>
        </w:rPr>
        <w:t>article 55 du CPA, avait été rejetée par le TAR.</w:t>
      </w:r>
    </w:p>
    <w:p w:rsidR="00481B13" w:rsidRPr="002C5245" w:rsidRDefault="00481B13" w:rsidP="002C5245">
      <w:pPr>
        <w:pStyle w:val="ECHRPara"/>
        <w:rPr>
          <w:lang w:val="fr-FR"/>
        </w:rPr>
      </w:pPr>
      <w:r w:rsidRPr="002C5245">
        <w:rPr>
          <w:lang w:val="fr-FR"/>
        </w:rPr>
        <w:t>30.  Tout en jugeant regrettable l</w:t>
      </w:r>
      <w:r w:rsidR="002C5245" w:rsidRPr="002C5245">
        <w:rPr>
          <w:lang w:val="fr-FR"/>
        </w:rPr>
        <w:t>’</w:t>
      </w:r>
      <w:r w:rsidRPr="002C5245">
        <w:rPr>
          <w:lang w:val="fr-FR"/>
        </w:rPr>
        <w:t>attitude des requérantes de l</w:t>
      </w:r>
      <w:r w:rsidR="002C5245" w:rsidRPr="002C5245">
        <w:rPr>
          <w:lang w:val="fr-FR"/>
        </w:rPr>
        <w:t>’</w:t>
      </w:r>
      <w:r w:rsidRPr="002C5245">
        <w:rPr>
          <w:lang w:val="fr-FR"/>
        </w:rPr>
        <w:t>informer tardivement, la Cour rappelle que la portée de l</w:t>
      </w:r>
      <w:r w:rsidR="002C5245" w:rsidRPr="002C5245">
        <w:rPr>
          <w:lang w:val="fr-FR"/>
        </w:rPr>
        <w:t>’</w:t>
      </w:r>
      <w:r w:rsidRPr="002C5245">
        <w:rPr>
          <w:lang w:val="fr-FR"/>
        </w:rPr>
        <w:t>exigence du caractère suspensif d</w:t>
      </w:r>
      <w:r w:rsidR="002C5245" w:rsidRPr="002C5245">
        <w:rPr>
          <w:lang w:val="fr-FR"/>
        </w:rPr>
        <w:t>’</w:t>
      </w:r>
      <w:r w:rsidRPr="002C5245">
        <w:rPr>
          <w:lang w:val="fr-FR"/>
        </w:rPr>
        <w:t xml:space="preserve">un recours varie en fonction de la nature du grief (voir </w:t>
      </w:r>
      <w:r w:rsidRPr="002C5245">
        <w:rPr>
          <w:i/>
          <w:lang w:val="fr-FR"/>
        </w:rPr>
        <w:t xml:space="preserve">De Souza Ribeiro c. France </w:t>
      </w:r>
      <w:r w:rsidRPr="002C5245">
        <w:rPr>
          <w:lang w:val="fr-FR"/>
        </w:rPr>
        <w:t>[GC], n</w:t>
      </w:r>
      <w:r w:rsidRPr="002C5245">
        <w:rPr>
          <w:vertAlign w:val="superscript"/>
          <w:lang w:val="fr-FR"/>
        </w:rPr>
        <w:t>o</w:t>
      </w:r>
      <w:r w:rsidRPr="002C5245">
        <w:rPr>
          <w:lang w:val="fr-FR"/>
        </w:rPr>
        <w:t xml:space="preserve"> 22689/07, §§ 82-83,</w:t>
      </w:r>
      <w:r w:rsidRPr="002C5245">
        <w:rPr>
          <w:snapToGrid w:val="0"/>
          <w:lang w:val="fr-FR"/>
        </w:rPr>
        <w:t xml:space="preserve"> </w:t>
      </w:r>
      <w:r w:rsidRPr="002C5245">
        <w:rPr>
          <w:lang w:val="fr-FR"/>
        </w:rPr>
        <w:t>CEDH 2012). À cet égard, elle estime que dans des circonstances exceptionnelles comme celles de la présente affaire, où les requérantes ont été confrontées à un risque soudain de perte de leur domicile, en application d</w:t>
      </w:r>
      <w:r w:rsidR="002C5245" w:rsidRPr="002C5245">
        <w:rPr>
          <w:lang w:val="fr-FR"/>
        </w:rPr>
        <w:t>’</w:t>
      </w:r>
      <w:r w:rsidRPr="002C5245">
        <w:rPr>
          <w:lang w:val="fr-FR"/>
        </w:rPr>
        <w:t>un acte de l</w:t>
      </w:r>
      <w:r w:rsidR="002C5245" w:rsidRPr="002C5245">
        <w:rPr>
          <w:lang w:val="fr-FR"/>
        </w:rPr>
        <w:t>’</w:t>
      </w:r>
      <w:r w:rsidRPr="002C5245">
        <w:rPr>
          <w:lang w:val="fr-FR"/>
        </w:rPr>
        <w:t>administration adopté sans aucune forme de contrôle judiciaire préalable et en l</w:t>
      </w:r>
      <w:r w:rsidR="002C5245" w:rsidRPr="002C5245">
        <w:rPr>
          <w:lang w:val="fr-FR"/>
        </w:rPr>
        <w:t>’</w:t>
      </w:r>
      <w:r w:rsidRPr="002C5245">
        <w:rPr>
          <w:lang w:val="fr-FR"/>
        </w:rPr>
        <w:t>absence d</w:t>
      </w:r>
      <w:r w:rsidR="002C5245" w:rsidRPr="002C5245">
        <w:rPr>
          <w:lang w:val="fr-FR"/>
        </w:rPr>
        <w:t>’</w:t>
      </w:r>
      <w:r w:rsidRPr="002C5245">
        <w:rPr>
          <w:lang w:val="fr-FR"/>
        </w:rPr>
        <w:t xml:space="preserve">une alternative de logement (voir </w:t>
      </w:r>
      <w:r w:rsidRPr="002C5245">
        <w:rPr>
          <w:i/>
          <w:lang w:val="fr-FR"/>
        </w:rPr>
        <w:t>Connors c. Royaume-Uni</w:t>
      </w:r>
      <w:r w:rsidRPr="002C5245">
        <w:rPr>
          <w:lang w:val="fr-FR"/>
        </w:rPr>
        <w:t>, n</w:t>
      </w:r>
      <w:r w:rsidRPr="002C5245">
        <w:rPr>
          <w:vertAlign w:val="superscript"/>
          <w:lang w:val="fr-FR"/>
        </w:rPr>
        <w:t>o</w:t>
      </w:r>
      <w:r w:rsidRPr="002C5245">
        <w:rPr>
          <w:lang w:val="fr-FR"/>
        </w:rPr>
        <w:t xml:space="preserve"> 66746/01, §§ 94-95, 27 mai 2004), l</w:t>
      </w:r>
      <w:r w:rsidR="002C5245" w:rsidRPr="002C5245">
        <w:rPr>
          <w:lang w:val="fr-FR"/>
        </w:rPr>
        <w:t>’</w:t>
      </w:r>
      <w:r w:rsidRPr="002C5245">
        <w:rPr>
          <w:lang w:val="fr-FR"/>
        </w:rPr>
        <w:t>absence de caractère suspensif d</w:t>
      </w:r>
      <w:r w:rsidR="002C5245" w:rsidRPr="002C5245">
        <w:rPr>
          <w:lang w:val="fr-FR"/>
        </w:rPr>
        <w:t>’</w:t>
      </w:r>
      <w:r w:rsidRPr="002C5245">
        <w:rPr>
          <w:lang w:val="fr-FR"/>
        </w:rPr>
        <w:t>un remède interne donné pourrait exempter le requérant de l</w:t>
      </w:r>
      <w:r w:rsidR="002C5245" w:rsidRPr="002C5245">
        <w:rPr>
          <w:lang w:val="fr-FR"/>
        </w:rPr>
        <w:t>’</w:t>
      </w:r>
      <w:r w:rsidRPr="002C5245">
        <w:rPr>
          <w:lang w:val="fr-FR"/>
        </w:rPr>
        <w:t>obligation d</w:t>
      </w:r>
      <w:r w:rsidR="002C5245" w:rsidRPr="002C5245">
        <w:rPr>
          <w:lang w:val="fr-FR"/>
        </w:rPr>
        <w:t>’</w:t>
      </w:r>
      <w:r w:rsidRPr="002C5245">
        <w:rPr>
          <w:lang w:val="fr-FR"/>
        </w:rPr>
        <w:t>épuiser les voies de recours internes et s</w:t>
      </w:r>
      <w:r w:rsidR="002C5245" w:rsidRPr="002C5245">
        <w:rPr>
          <w:lang w:val="fr-FR"/>
        </w:rPr>
        <w:t>’</w:t>
      </w:r>
      <w:r w:rsidRPr="002C5245">
        <w:rPr>
          <w:lang w:val="fr-FR"/>
        </w:rPr>
        <w:t>analyser sur le terrain de l</w:t>
      </w:r>
      <w:r w:rsidR="002C5245" w:rsidRPr="002C5245">
        <w:rPr>
          <w:lang w:val="fr-FR"/>
        </w:rPr>
        <w:t>’</w:t>
      </w:r>
      <w:r w:rsidRPr="002C5245">
        <w:rPr>
          <w:lang w:val="fr-FR"/>
        </w:rPr>
        <w:t>article 13 de la Convention. Toutefois, contrairement à ce que les requérantes soutiennent, la Cour considère que l</w:t>
      </w:r>
      <w:r w:rsidR="002C5245" w:rsidRPr="002C5245">
        <w:rPr>
          <w:lang w:val="fr-FR"/>
        </w:rPr>
        <w:t>’</w:t>
      </w:r>
      <w:r w:rsidRPr="002C5245">
        <w:rPr>
          <w:lang w:val="fr-FR"/>
        </w:rPr>
        <w:t>ordre juridique italien prévoit un tel remède.</w:t>
      </w:r>
    </w:p>
    <w:p w:rsidR="00481B13" w:rsidRPr="002C5245" w:rsidRDefault="00481B13" w:rsidP="002C5245">
      <w:pPr>
        <w:pStyle w:val="ECHRPara"/>
        <w:rPr>
          <w:szCs w:val="24"/>
          <w:lang w:val="fr-FR"/>
        </w:rPr>
      </w:pPr>
      <w:r w:rsidRPr="002C5245">
        <w:rPr>
          <w:lang w:val="fr-FR"/>
        </w:rPr>
        <w:t>31.  Comme rappelé plus haut (paragraphe 26 ci-dessus), le simple fait de nourrir des doutes quant aux perspectives de succès d</w:t>
      </w:r>
      <w:r w:rsidR="002C5245" w:rsidRPr="002C5245">
        <w:rPr>
          <w:lang w:val="fr-FR"/>
        </w:rPr>
        <w:t>’</w:t>
      </w:r>
      <w:r w:rsidRPr="002C5245">
        <w:rPr>
          <w:lang w:val="fr-FR"/>
        </w:rPr>
        <w:t xml:space="preserve">un recours existant et </w:t>
      </w:r>
      <w:r w:rsidRPr="002C5245">
        <w:rPr>
          <w:lang w:val="fr-FR"/>
        </w:rPr>
        <w:lastRenderedPageBreak/>
        <w:t>disponible au niveau national ne constitue pas une raison valable pour exempter un requérant de son obligation d</w:t>
      </w:r>
      <w:r w:rsidR="002C5245" w:rsidRPr="002C5245">
        <w:rPr>
          <w:lang w:val="fr-FR"/>
        </w:rPr>
        <w:t>’</w:t>
      </w:r>
      <w:r w:rsidRPr="002C5245">
        <w:rPr>
          <w:lang w:val="fr-FR"/>
        </w:rPr>
        <w:t>utiliser la voie de recours interne. Au contraire, la Cour a déjà jugé, en rappelant la centralité qu</w:t>
      </w:r>
      <w:r w:rsidR="002C5245" w:rsidRPr="002C5245">
        <w:rPr>
          <w:lang w:val="fr-FR"/>
        </w:rPr>
        <w:t>’</w:t>
      </w:r>
      <w:r w:rsidRPr="002C5245">
        <w:rPr>
          <w:lang w:val="fr-FR"/>
        </w:rPr>
        <w:t>elle reconnaît au principe de subsidiarité, qu</w:t>
      </w:r>
      <w:r w:rsidR="002C5245" w:rsidRPr="002C5245">
        <w:rPr>
          <w:lang w:val="fr-FR"/>
        </w:rPr>
        <w:t>’</w:t>
      </w:r>
      <w:r w:rsidRPr="002C5245">
        <w:rPr>
          <w:lang w:val="fr-FR"/>
        </w:rPr>
        <w:t>il y a intérêt à saisir le juge national compétent afin de lui permettre de développer les droits existants en usant de son pouvoir d</w:t>
      </w:r>
      <w:r w:rsidR="002C5245" w:rsidRPr="002C5245">
        <w:rPr>
          <w:lang w:val="fr-FR"/>
        </w:rPr>
        <w:t>’</w:t>
      </w:r>
      <w:r w:rsidRPr="002C5245">
        <w:rPr>
          <w:lang w:val="fr-FR"/>
        </w:rPr>
        <w:t xml:space="preserve">interprétation (voir </w:t>
      </w:r>
      <w:r w:rsidRPr="002C5245">
        <w:rPr>
          <w:i/>
          <w:lang w:val="fr-FR"/>
        </w:rPr>
        <w:t>Ciupercescu c. Roumanie</w:t>
      </w:r>
      <w:r w:rsidRPr="002C5245">
        <w:rPr>
          <w:lang w:val="fr-FR"/>
        </w:rPr>
        <w:t>, n</w:t>
      </w:r>
      <w:r w:rsidRPr="002C5245">
        <w:rPr>
          <w:vertAlign w:val="superscript"/>
          <w:lang w:val="fr-FR"/>
        </w:rPr>
        <w:t>o</w:t>
      </w:r>
      <w:r w:rsidR="00337912" w:rsidRPr="002C5245">
        <w:rPr>
          <w:vertAlign w:val="superscript"/>
          <w:lang w:val="fr-FR"/>
        </w:rPr>
        <w:t> </w:t>
      </w:r>
      <w:r w:rsidRPr="002C5245">
        <w:rPr>
          <w:lang w:val="fr-FR"/>
        </w:rPr>
        <w:t>35555/03</w:t>
      </w:r>
      <w:r w:rsidRPr="002C5245">
        <w:rPr>
          <w:snapToGrid w:val="0"/>
          <w:szCs w:val="24"/>
          <w:lang w:val="fr-FR"/>
        </w:rPr>
        <w:t>, § 169, 15 juin 2010)</w:t>
      </w:r>
      <w:r w:rsidRPr="002C5245">
        <w:rPr>
          <w:lang w:val="fr-FR"/>
        </w:rPr>
        <w:t>.</w:t>
      </w:r>
    </w:p>
    <w:p w:rsidR="00481B13" w:rsidRPr="002C5245" w:rsidRDefault="00481B13" w:rsidP="002C5245">
      <w:pPr>
        <w:pStyle w:val="ECHRPara"/>
        <w:rPr>
          <w:lang w:val="fr-FR"/>
        </w:rPr>
      </w:pPr>
      <w:r w:rsidRPr="002C5245">
        <w:rPr>
          <w:lang w:val="fr-FR"/>
        </w:rPr>
        <w:t>32.  A cet égard, la Cour relève que, selon le libellé de l</w:t>
      </w:r>
      <w:r w:rsidR="002C5245" w:rsidRPr="002C5245">
        <w:rPr>
          <w:lang w:val="fr-FR"/>
        </w:rPr>
        <w:t>’</w:t>
      </w:r>
      <w:r w:rsidRPr="002C5245">
        <w:rPr>
          <w:lang w:val="fr-FR"/>
        </w:rPr>
        <w:t>article 56 du CPA précité (paragraphe 18 ci-dessus), la partie qui risque de subir un préjudice à cause de l</w:t>
      </w:r>
      <w:r w:rsidR="002C5245" w:rsidRPr="002C5245">
        <w:rPr>
          <w:lang w:val="fr-FR"/>
        </w:rPr>
        <w:t>’</w:t>
      </w:r>
      <w:r w:rsidRPr="002C5245">
        <w:rPr>
          <w:lang w:val="fr-FR"/>
        </w:rPr>
        <w:t>adoption ou de l</w:t>
      </w:r>
      <w:r w:rsidR="002C5245" w:rsidRPr="002C5245">
        <w:rPr>
          <w:lang w:val="fr-FR"/>
        </w:rPr>
        <w:t>’</w:t>
      </w:r>
      <w:r w:rsidRPr="002C5245">
        <w:rPr>
          <w:lang w:val="fr-FR"/>
        </w:rPr>
        <w:t>exécution d</w:t>
      </w:r>
      <w:r w:rsidR="002C5245" w:rsidRPr="002C5245">
        <w:rPr>
          <w:lang w:val="fr-FR"/>
        </w:rPr>
        <w:t>’</w:t>
      </w:r>
      <w:r w:rsidRPr="002C5245">
        <w:rPr>
          <w:lang w:val="fr-FR"/>
        </w:rPr>
        <w:t>un acte administratif peut, en cas d</w:t>
      </w:r>
      <w:r w:rsidR="002C5245" w:rsidRPr="002C5245">
        <w:rPr>
          <w:lang w:val="fr-FR"/>
        </w:rPr>
        <w:t>’</w:t>
      </w:r>
      <w:r w:rsidRPr="002C5245">
        <w:rPr>
          <w:lang w:val="fr-FR"/>
        </w:rPr>
        <w:t>extrême gravité et urgence, demander sa suspension immédiate au président du TAR.</w:t>
      </w:r>
    </w:p>
    <w:p w:rsidR="00481B13" w:rsidRPr="002C5245" w:rsidRDefault="00481B13" w:rsidP="002C5245">
      <w:pPr>
        <w:pStyle w:val="ECHRPara"/>
        <w:rPr>
          <w:lang w:val="fr-FR"/>
        </w:rPr>
      </w:pPr>
      <w:r w:rsidRPr="002C5245">
        <w:rPr>
          <w:lang w:val="fr-FR"/>
        </w:rPr>
        <w:t>33.  En plus, la Cour prend acte du décret du président du TAR du Latium du 25 mars 2016 (paragraphe 15 ci-dessus). Elle note que cette décision fait droit à une demande de suspension de cinq ordres de quitter les lieux, présentée aux termes de l</w:t>
      </w:r>
      <w:r w:rsidR="002C5245" w:rsidRPr="002C5245">
        <w:rPr>
          <w:lang w:val="fr-FR"/>
        </w:rPr>
        <w:t>’</w:t>
      </w:r>
      <w:r w:rsidRPr="002C5245">
        <w:rPr>
          <w:lang w:val="fr-FR"/>
        </w:rPr>
        <w:t>article 56 du CPA par des personnes qui, comme les deux requérantes, résidaient dans le CAAT « </w:t>
      </w:r>
      <w:r w:rsidRPr="002C5245">
        <w:rPr>
          <w:i/>
          <w:lang w:val="fr-FR"/>
        </w:rPr>
        <w:t>Ex-Cartiera</w:t>
      </w:r>
      <w:r w:rsidRPr="002C5245">
        <w:rPr>
          <w:lang w:val="fr-FR"/>
        </w:rPr>
        <w:t> ».</w:t>
      </w:r>
    </w:p>
    <w:p w:rsidR="00481B13" w:rsidRPr="002C5245" w:rsidRDefault="00481B13" w:rsidP="002C5245">
      <w:pPr>
        <w:pStyle w:val="ECHRPara"/>
        <w:rPr>
          <w:lang w:val="fr-FR"/>
        </w:rPr>
      </w:pPr>
      <w:r w:rsidRPr="002C5245">
        <w:rPr>
          <w:lang w:val="fr-FR"/>
        </w:rPr>
        <w:t>34.  Enfin, la Cour remarque que le recours en annulation, présenté par les requérantes pour contester au fond l</w:t>
      </w:r>
      <w:r w:rsidR="002C5245" w:rsidRPr="002C5245">
        <w:rPr>
          <w:lang w:val="fr-FR"/>
        </w:rPr>
        <w:t>’</w:t>
      </w:r>
      <w:r w:rsidRPr="002C5245">
        <w:rPr>
          <w:lang w:val="fr-FR"/>
        </w:rPr>
        <w:t>ordre de quitter les lieux, est toujours pendant devant le TAR du Latium.</w:t>
      </w:r>
    </w:p>
    <w:p w:rsidR="00481B13" w:rsidRPr="002C5245" w:rsidRDefault="00481B13" w:rsidP="002C5245">
      <w:pPr>
        <w:pStyle w:val="ECHRPara"/>
        <w:rPr>
          <w:lang w:val="fr-FR"/>
        </w:rPr>
      </w:pPr>
      <w:r w:rsidRPr="002C5245">
        <w:rPr>
          <w:lang w:val="fr-FR"/>
        </w:rPr>
        <w:t>35.  Par conséquent, soulignant son rôle subsidiaire par rapport aux systèmes nationaux de garantie des droits de l</w:t>
      </w:r>
      <w:r w:rsidR="002C5245" w:rsidRPr="002C5245">
        <w:rPr>
          <w:lang w:val="fr-FR"/>
        </w:rPr>
        <w:t>’</w:t>
      </w:r>
      <w:r w:rsidRPr="002C5245">
        <w:rPr>
          <w:lang w:val="fr-FR"/>
        </w:rPr>
        <w:t>homme (</w:t>
      </w:r>
      <w:r w:rsidRPr="002C5245">
        <w:rPr>
          <w:i/>
          <w:lang w:val="fr-FR"/>
        </w:rPr>
        <w:t>Handyside c. Royaume-Uni</w:t>
      </w:r>
      <w:r w:rsidRPr="002C5245">
        <w:rPr>
          <w:lang w:val="fr-FR"/>
        </w:rPr>
        <w:t>, 7 décembre 1976, § 48, série A n</w:t>
      </w:r>
      <w:r w:rsidRPr="002C5245">
        <w:rPr>
          <w:vertAlign w:val="superscript"/>
          <w:lang w:val="fr-FR"/>
        </w:rPr>
        <w:t>o</w:t>
      </w:r>
      <w:r w:rsidRPr="002C5245">
        <w:rPr>
          <w:lang w:val="fr-FR"/>
        </w:rPr>
        <w:t xml:space="preserve"> 24), la Cour considère que les requérantes disposaient d</w:t>
      </w:r>
      <w:r w:rsidR="002C5245" w:rsidRPr="002C5245">
        <w:rPr>
          <w:lang w:val="fr-FR"/>
        </w:rPr>
        <w:t>’</w:t>
      </w:r>
      <w:r w:rsidRPr="002C5245">
        <w:rPr>
          <w:lang w:val="fr-FR"/>
        </w:rPr>
        <w:t>un remède interne effectif pour obtenir à la fois la suspension et l</w:t>
      </w:r>
      <w:r w:rsidR="002C5245" w:rsidRPr="002C5245">
        <w:rPr>
          <w:lang w:val="fr-FR"/>
        </w:rPr>
        <w:t>’</w:t>
      </w:r>
      <w:r w:rsidRPr="002C5245">
        <w:rPr>
          <w:lang w:val="fr-FR"/>
        </w:rPr>
        <w:t>annulation de l</w:t>
      </w:r>
      <w:r w:rsidR="002C5245" w:rsidRPr="002C5245">
        <w:rPr>
          <w:lang w:val="fr-FR"/>
        </w:rPr>
        <w:t>’</w:t>
      </w:r>
      <w:r w:rsidRPr="002C5245">
        <w:rPr>
          <w:lang w:val="fr-FR"/>
        </w:rPr>
        <w:t>ordre de quitter les lieux. Par ailleurs, il n</w:t>
      </w:r>
      <w:r w:rsidR="002C5245" w:rsidRPr="002C5245">
        <w:rPr>
          <w:lang w:val="fr-FR"/>
        </w:rPr>
        <w:t>’</w:t>
      </w:r>
      <w:r w:rsidRPr="002C5245">
        <w:rPr>
          <w:lang w:val="fr-FR"/>
        </w:rPr>
        <w:t>a été décelé aucune circonstance exceptionnelle de nature à dispenser les requérantes de l</w:t>
      </w:r>
      <w:r w:rsidR="002C5245" w:rsidRPr="002C5245">
        <w:rPr>
          <w:lang w:val="fr-FR"/>
        </w:rPr>
        <w:t>’</w:t>
      </w:r>
      <w:r w:rsidRPr="002C5245">
        <w:rPr>
          <w:lang w:val="fr-FR"/>
        </w:rPr>
        <w:t>obligation d</w:t>
      </w:r>
      <w:r w:rsidR="002C5245" w:rsidRPr="002C5245">
        <w:rPr>
          <w:lang w:val="fr-FR"/>
        </w:rPr>
        <w:t>’</w:t>
      </w:r>
      <w:r w:rsidRPr="002C5245">
        <w:rPr>
          <w:lang w:val="fr-FR"/>
        </w:rPr>
        <w:t>épuiser la voie de recours en question.</w:t>
      </w:r>
    </w:p>
    <w:p w:rsidR="00481B13" w:rsidRPr="002C5245" w:rsidRDefault="00481B13" w:rsidP="002C5245">
      <w:pPr>
        <w:pStyle w:val="ECHRPara"/>
        <w:rPr>
          <w:lang w:val="fr-FR"/>
        </w:rPr>
      </w:pPr>
      <w:r w:rsidRPr="002C5245">
        <w:rPr>
          <w:lang w:val="fr-FR"/>
        </w:rPr>
        <w:t>36.  Il s</w:t>
      </w:r>
      <w:r w:rsidR="002C5245" w:rsidRPr="002C5245">
        <w:rPr>
          <w:lang w:val="fr-FR"/>
        </w:rPr>
        <w:t>’</w:t>
      </w:r>
      <w:r w:rsidRPr="002C5245">
        <w:rPr>
          <w:lang w:val="fr-FR"/>
        </w:rPr>
        <w:t>ensuit que la requête doit être rejetée pour non-épuisement des voies de recours internes en application de l</w:t>
      </w:r>
      <w:r w:rsidR="002C5245" w:rsidRPr="002C5245">
        <w:rPr>
          <w:lang w:val="fr-FR"/>
        </w:rPr>
        <w:t>’</w:t>
      </w:r>
      <w:r w:rsidRPr="002C5245">
        <w:rPr>
          <w:lang w:val="fr-FR"/>
        </w:rPr>
        <w:t>article 35 §§ 1 et 4 de la Convention.</w:t>
      </w:r>
    </w:p>
    <w:p w:rsidR="00481B13" w:rsidRPr="002C5245" w:rsidRDefault="00481B13" w:rsidP="002C5245">
      <w:pPr>
        <w:pStyle w:val="ECHRPara"/>
        <w:rPr>
          <w:lang w:val="fr-FR"/>
        </w:rPr>
      </w:pPr>
      <w:r w:rsidRPr="002C5245">
        <w:rPr>
          <w:lang w:val="fr-FR"/>
        </w:rPr>
        <w:t>37.  Par conséquent, la Cour décide de mettre fin à l</w:t>
      </w:r>
      <w:r w:rsidR="002C5245" w:rsidRPr="002C5245">
        <w:rPr>
          <w:lang w:val="fr-FR"/>
        </w:rPr>
        <w:t>’</w:t>
      </w:r>
      <w:r w:rsidRPr="002C5245">
        <w:rPr>
          <w:lang w:val="fr-FR"/>
        </w:rPr>
        <w:t>application de l</w:t>
      </w:r>
      <w:r w:rsidR="002C5245" w:rsidRPr="002C5245">
        <w:rPr>
          <w:lang w:val="fr-FR"/>
        </w:rPr>
        <w:t>’</w:t>
      </w:r>
      <w:r w:rsidRPr="002C5245">
        <w:rPr>
          <w:lang w:val="fr-FR"/>
        </w:rPr>
        <w:t>article 39 du règlement de la Cour.</w:t>
      </w:r>
    </w:p>
    <w:p w:rsidR="00481B13" w:rsidRPr="002C5245" w:rsidRDefault="00481B13" w:rsidP="002C5245">
      <w:pPr>
        <w:pStyle w:val="DecList"/>
        <w:rPr>
          <w:lang w:val="fr-FR"/>
        </w:rPr>
      </w:pPr>
      <w:r w:rsidRPr="002C5245">
        <w:rPr>
          <w:lang w:val="fr-FR"/>
        </w:rPr>
        <w:t>Par ces motifs, la Cour, à l</w:t>
      </w:r>
      <w:r w:rsidR="002C5245" w:rsidRPr="002C5245">
        <w:rPr>
          <w:lang w:val="fr-FR"/>
        </w:rPr>
        <w:t>’</w:t>
      </w:r>
      <w:r w:rsidRPr="002C5245">
        <w:rPr>
          <w:lang w:val="fr-FR"/>
        </w:rPr>
        <w:t>unanimité,</w:t>
      </w:r>
    </w:p>
    <w:p w:rsidR="00481B13" w:rsidRPr="002C5245" w:rsidRDefault="00481B13" w:rsidP="002C5245">
      <w:pPr>
        <w:pStyle w:val="DecList"/>
        <w:rPr>
          <w:lang w:val="fr-FR"/>
        </w:rPr>
      </w:pPr>
      <w:r w:rsidRPr="002C5245">
        <w:rPr>
          <w:i/>
          <w:lang w:val="fr-FR"/>
        </w:rPr>
        <w:t xml:space="preserve">Déclare </w:t>
      </w:r>
      <w:r w:rsidRPr="002C5245">
        <w:rPr>
          <w:lang w:val="fr-FR"/>
        </w:rPr>
        <w:t>la requête irrecevable.</w:t>
      </w:r>
    </w:p>
    <w:p w:rsidR="006544C4" w:rsidRPr="002C5245" w:rsidRDefault="006544C4" w:rsidP="002C5245">
      <w:pPr>
        <w:pStyle w:val="ECHRPara"/>
        <w:rPr>
          <w:sz w:val="2"/>
          <w:szCs w:val="2"/>
          <w:lang w:val="fr-FR" w:eastAsia="en-GB"/>
        </w:rPr>
      </w:pPr>
    </w:p>
    <w:p w:rsidR="00050A32" w:rsidRPr="002C5245" w:rsidRDefault="00F40988" w:rsidP="002C5245">
      <w:pPr>
        <w:pStyle w:val="JuParaLast"/>
        <w:rPr>
          <w:lang w:val="fr-FR"/>
        </w:rPr>
      </w:pPr>
      <w:r w:rsidRPr="002C5245">
        <w:rPr>
          <w:szCs w:val="24"/>
          <w:lang w:val="fr-FR"/>
        </w:rPr>
        <w:t xml:space="preserve">Fait en français puis communiqué par écrit le </w:t>
      </w:r>
      <w:r w:rsidR="00481B13" w:rsidRPr="002C5245">
        <w:rPr>
          <w:szCs w:val="24"/>
          <w:lang w:val="fr-FR"/>
        </w:rPr>
        <w:t>27 octobre 2016</w:t>
      </w:r>
      <w:r w:rsidRPr="002C5245">
        <w:rPr>
          <w:lang w:val="fr-FR"/>
        </w:rPr>
        <w:t>.</w:t>
      </w:r>
    </w:p>
    <w:p w:rsidR="00234E8A" w:rsidRPr="002C5245" w:rsidRDefault="00481B13" w:rsidP="002C5245">
      <w:pPr>
        <w:pStyle w:val="JuSigned"/>
        <w:contextualSpacing/>
        <w:rPr>
          <w:lang w:val="fr-FR"/>
        </w:rPr>
      </w:pPr>
      <w:r w:rsidRPr="002C5245">
        <w:rPr>
          <w:lang w:val="fr-FR"/>
        </w:rPr>
        <w:t>Renata Degener</w:t>
      </w:r>
      <w:r w:rsidRPr="002C5245">
        <w:rPr>
          <w:lang w:val="fr-FR"/>
        </w:rPr>
        <w:tab/>
        <w:t>Kristina Pardalos</w:t>
      </w:r>
      <w:r w:rsidRPr="002C5245">
        <w:rPr>
          <w:lang w:val="fr-FR"/>
        </w:rPr>
        <w:br/>
      </w:r>
      <w:r w:rsidRPr="002C5245">
        <w:rPr>
          <w:lang w:val="fr-FR"/>
        </w:rPr>
        <w:tab/>
        <w:t>Greffière adjointe</w:t>
      </w:r>
      <w:r w:rsidRPr="002C5245">
        <w:rPr>
          <w:lang w:val="fr-FR"/>
        </w:rPr>
        <w:tab/>
        <w:t>Présidente</w:t>
      </w:r>
    </w:p>
    <w:sectPr w:rsidR="00234E8A" w:rsidRPr="002C524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0E" w:rsidRPr="00AC6FC1" w:rsidRDefault="0013410E" w:rsidP="006544C4">
      <w:pPr>
        <w:rPr>
          <w:lang w:val="fr-FR"/>
        </w:rPr>
      </w:pPr>
      <w:r w:rsidRPr="00AC6FC1">
        <w:rPr>
          <w:lang w:val="fr-FR"/>
        </w:rPr>
        <w:separator/>
      </w:r>
    </w:p>
  </w:endnote>
  <w:endnote w:type="continuationSeparator" w:id="0">
    <w:p w:rsidR="0013410E" w:rsidRPr="00AC6FC1" w:rsidRDefault="0013410E" w:rsidP="006544C4">
      <w:pPr>
        <w:rPr>
          <w:lang w:val="fr-FR"/>
        </w:rPr>
      </w:pPr>
      <w:r w:rsidRPr="00AC6FC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13" w:rsidRPr="00150BFA" w:rsidRDefault="00481B13" w:rsidP="0020718E">
    <w:pPr>
      <w:jc w:val="center"/>
    </w:pPr>
    <w:r>
      <w:rPr>
        <w:noProof/>
        <w:lang w:val="it-IT" w:eastAsia="it-IT"/>
      </w:rPr>
      <w:drawing>
        <wp:inline distT="0" distB="0" distL="0" distR="0" wp14:anchorId="17620525" wp14:editId="266C0FE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AC6FC1" w:rsidRDefault="0013410E"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0E" w:rsidRPr="00AC6FC1" w:rsidRDefault="0013410E" w:rsidP="006544C4">
      <w:pPr>
        <w:rPr>
          <w:lang w:val="fr-FR"/>
        </w:rPr>
      </w:pPr>
      <w:r w:rsidRPr="00AC6FC1">
        <w:rPr>
          <w:lang w:val="fr-FR"/>
        </w:rPr>
        <w:separator/>
      </w:r>
    </w:p>
  </w:footnote>
  <w:footnote w:type="continuationSeparator" w:id="0">
    <w:p w:rsidR="0013410E" w:rsidRPr="00AC6FC1" w:rsidRDefault="0013410E" w:rsidP="006544C4">
      <w:pPr>
        <w:rPr>
          <w:lang w:val="fr-FR"/>
        </w:rPr>
      </w:pPr>
      <w:r w:rsidRPr="00AC6FC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481B13" w:rsidP="003312A3">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583A67">
      <w:rPr>
        <w:rStyle w:val="Numeropagina"/>
        <w:noProof/>
        <w:lang w:val="fr-FR"/>
      </w:rPr>
      <w:t>2</w:t>
    </w:r>
    <w:r>
      <w:rPr>
        <w:rStyle w:val="Numeropagina"/>
        <w:lang w:val="fr-FR"/>
      </w:rPr>
      <w:fldChar w:fldCharType="end"/>
    </w:r>
    <w:r w:rsidR="00334EC5" w:rsidRPr="00AC6FC1">
      <w:rPr>
        <w:lang w:val="fr-FR"/>
      </w:rPr>
      <w:tab/>
      <w:t xml:space="preserve">DÉCISION </w:t>
    </w:r>
    <w:r>
      <w:rPr>
        <w:lang w:val="fr-FR"/>
      </w:rPr>
      <w:t>PETRACHE ET TRANCA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334EC5" w:rsidP="006544C4">
    <w:pPr>
      <w:pStyle w:val="ECHRHeader"/>
      <w:rPr>
        <w:lang w:val="fr-FR"/>
      </w:rPr>
    </w:pPr>
    <w:r w:rsidRPr="00AC6FC1">
      <w:rPr>
        <w:lang w:val="fr-FR"/>
      </w:rPr>
      <w:tab/>
      <w:t xml:space="preserve">DÉCISION </w:t>
    </w:r>
    <w:r w:rsidR="00481B13">
      <w:rPr>
        <w:lang w:val="fr-FR"/>
      </w:rPr>
      <w:t>PETRACHE ET TRANCA c. ITALIE</w:t>
    </w:r>
    <w:r w:rsidRPr="00AC6FC1">
      <w:rPr>
        <w:lang w:val="fr-FR"/>
      </w:rPr>
      <w:tab/>
    </w:r>
    <w:r w:rsidR="00481B13">
      <w:rPr>
        <w:rStyle w:val="Numeropagina"/>
        <w:lang w:val="fr-FR"/>
      </w:rPr>
      <w:fldChar w:fldCharType="begin"/>
    </w:r>
    <w:r w:rsidR="00481B13">
      <w:rPr>
        <w:rStyle w:val="Numeropagina"/>
        <w:lang w:val="fr-FR"/>
      </w:rPr>
      <w:instrText xml:space="preserve"> PAGE </w:instrText>
    </w:r>
    <w:r w:rsidR="00481B13">
      <w:rPr>
        <w:rStyle w:val="Numeropagina"/>
        <w:lang w:val="fr-FR"/>
      </w:rPr>
      <w:fldChar w:fldCharType="separate"/>
    </w:r>
    <w:r w:rsidR="00583A67">
      <w:rPr>
        <w:rStyle w:val="Numeropagina"/>
        <w:noProof/>
        <w:lang w:val="fr-FR"/>
      </w:rPr>
      <w:t>7</w:t>
    </w:r>
    <w:r w:rsidR="00481B13">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13" w:rsidRPr="00A45145" w:rsidRDefault="00481B13" w:rsidP="00A45145">
    <w:pPr>
      <w:jc w:val="center"/>
    </w:pPr>
    <w:r>
      <w:rPr>
        <w:noProof/>
        <w:lang w:val="it-IT" w:eastAsia="it-IT"/>
      </w:rPr>
      <w:drawing>
        <wp:inline distT="0" distB="0" distL="0" distR="0" wp14:anchorId="7C4FD424" wp14:editId="1D8A5F7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AC6FC1" w:rsidRDefault="0013410E"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1"/>
    <w:docVar w:name="DocVarPREMATURE" w:val="0"/>
    <w:docVar w:name="EMM" w:val="0"/>
    <w:docVar w:name="ETRANSMISSION" w:val="PAR VOIE ÉLECTRONIQUE UNIQUEMENT"/>
    <w:docVar w:name="L4_1Annex" w:val="0"/>
    <w:docVar w:name="L4_1Anonymity" w:val="0"/>
    <w:docVar w:name="L4_1AppNatList" w:val="roumain"/>
    <w:docVar w:name="NBEMMDOC" w:val="0"/>
    <w:docVar w:name="Plural" w:val="1"/>
    <w:docVar w:name="SignForeName" w:val="0"/>
  </w:docVars>
  <w:rsids>
    <w:rsidRoot w:val="00481B13"/>
    <w:rsid w:val="000041F8"/>
    <w:rsid w:val="000042A8"/>
    <w:rsid w:val="00004308"/>
    <w:rsid w:val="00005BF0"/>
    <w:rsid w:val="00007154"/>
    <w:rsid w:val="000103AE"/>
    <w:rsid w:val="00011D69"/>
    <w:rsid w:val="00012AD3"/>
    <w:rsid w:val="00015C2D"/>
    <w:rsid w:val="00015F00"/>
    <w:rsid w:val="0002045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5D7B"/>
    <w:rsid w:val="000D721F"/>
    <w:rsid w:val="000E069B"/>
    <w:rsid w:val="000E0E82"/>
    <w:rsid w:val="000E1DC5"/>
    <w:rsid w:val="000E223F"/>
    <w:rsid w:val="000E7D45"/>
    <w:rsid w:val="000F7851"/>
    <w:rsid w:val="00104E23"/>
    <w:rsid w:val="00111B0C"/>
    <w:rsid w:val="00120D6C"/>
    <w:rsid w:val="001257EC"/>
    <w:rsid w:val="00133D33"/>
    <w:rsid w:val="0013410E"/>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7C5"/>
    <w:rsid w:val="002C0E27"/>
    <w:rsid w:val="002C3040"/>
    <w:rsid w:val="002C5245"/>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912"/>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3668"/>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1B13"/>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83A67"/>
    <w:rsid w:val="00592772"/>
    <w:rsid w:val="0059574A"/>
    <w:rsid w:val="005A1B9B"/>
    <w:rsid w:val="005A6751"/>
    <w:rsid w:val="005B092E"/>
    <w:rsid w:val="005B152C"/>
    <w:rsid w:val="005B1EE0"/>
    <w:rsid w:val="005B2B24"/>
    <w:rsid w:val="005B4425"/>
    <w:rsid w:val="005B4B94"/>
    <w:rsid w:val="005C3EE8"/>
    <w:rsid w:val="005D34F9"/>
    <w:rsid w:val="005D4147"/>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4B4"/>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075E"/>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23DD"/>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970A4"/>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848AC"/>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6C02"/>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20450"/>
    <w:pPr>
      <w:jc w:val="both"/>
    </w:pPr>
    <w:rPr>
      <w:rFonts w:eastAsiaTheme="minorEastAsia"/>
      <w:sz w:val="24"/>
    </w:rPr>
  </w:style>
  <w:style w:type="paragraph" w:styleId="Titolo1">
    <w:name w:val="heading 1"/>
    <w:basedOn w:val="Normale"/>
    <w:next w:val="Normale"/>
    <w:link w:val="Titolo1Carattere"/>
    <w:uiPriority w:val="99"/>
    <w:semiHidden/>
    <w:rsid w:val="0002045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02045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02045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02045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020450"/>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02045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020450"/>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02045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02045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204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0450"/>
    <w:rPr>
      <w:rFonts w:ascii="Tahoma" w:eastAsiaTheme="minorEastAsia" w:hAnsi="Tahoma" w:cs="Tahoma"/>
      <w:sz w:val="16"/>
      <w:szCs w:val="16"/>
    </w:rPr>
  </w:style>
  <w:style w:type="character" w:styleId="Titolodellibro">
    <w:name w:val="Book Title"/>
    <w:uiPriority w:val="99"/>
    <w:semiHidden/>
    <w:qFormat/>
    <w:rsid w:val="00020450"/>
    <w:rPr>
      <w:i/>
      <w:iCs/>
      <w:smallCaps/>
      <w:spacing w:val="5"/>
    </w:rPr>
  </w:style>
  <w:style w:type="paragraph" w:customStyle="1" w:styleId="ECHRHeader">
    <w:name w:val="ECHR_Header"/>
    <w:aliases w:val="Ju_Header"/>
    <w:basedOn w:val="Intestazione"/>
    <w:uiPriority w:val="4"/>
    <w:qFormat/>
    <w:rsid w:val="00020450"/>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020450"/>
    <w:pPr>
      <w:numPr>
        <w:numId w:val="14"/>
      </w:numPr>
      <w:jc w:val="left"/>
    </w:pPr>
    <w:rPr>
      <w:b/>
    </w:rPr>
  </w:style>
  <w:style w:type="character" w:styleId="Enfasigrassetto">
    <w:name w:val="Strong"/>
    <w:uiPriority w:val="99"/>
    <w:semiHidden/>
    <w:qFormat/>
    <w:rsid w:val="00020450"/>
    <w:rPr>
      <w:b/>
      <w:bCs/>
    </w:rPr>
  </w:style>
  <w:style w:type="paragraph" w:styleId="Nessunaspaziatura">
    <w:name w:val="No Spacing"/>
    <w:basedOn w:val="Normale"/>
    <w:link w:val="NessunaspaziaturaCarattere"/>
    <w:semiHidden/>
    <w:qFormat/>
    <w:rsid w:val="00020450"/>
    <w:rPr>
      <w:sz w:val="22"/>
    </w:rPr>
  </w:style>
  <w:style w:type="character" w:customStyle="1" w:styleId="NessunaspaziaturaCarattere">
    <w:name w:val="Nessuna spaziatura Carattere"/>
    <w:basedOn w:val="Carpredefinitoparagrafo"/>
    <w:link w:val="Nessunaspaziatura"/>
    <w:semiHidden/>
    <w:rsid w:val="00020450"/>
    <w:rPr>
      <w:rFonts w:eastAsiaTheme="minorEastAsia"/>
    </w:rPr>
  </w:style>
  <w:style w:type="paragraph" w:customStyle="1" w:styleId="OpiPara">
    <w:name w:val="Opi_Para"/>
    <w:basedOn w:val="ECHRPara"/>
    <w:uiPriority w:val="46"/>
    <w:semiHidden/>
    <w:qFormat/>
    <w:rsid w:val="00020450"/>
  </w:style>
  <w:style w:type="paragraph" w:customStyle="1" w:styleId="ECHRParaQuote">
    <w:name w:val="ECHR_Para_Quote"/>
    <w:aliases w:val="Ju_Quot"/>
    <w:basedOn w:val="Normale"/>
    <w:uiPriority w:val="14"/>
    <w:qFormat/>
    <w:rsid w:val="00020450"/>
    <w:pPr>
      <w:spacing w:before="120" w:after="120"/>
      <w:ind w:left="425" w:firstLine="142"/>
    </w:pPr>
    <w:rPr>
      <w:sz w:val="20"/>
    </w:rPr>
  </w:style>
  <w:style w:type="paragraph" w:customStyle="1" w:styleId="JuParaSub">
    <w:name w:val="Ju_Para_Sub"/>
    <w:basedOn w:val="ECHRPara"/>
    <w:uiPriority w:val="13"/>
    <w:qFormat/>
    <w:rsid w:val="00020450"/>
    <w:pPr>
      <w:ind w:left="284"/>
    </w:pPr>
  </w:style>
  <w:style w:type="paragraph" w:customStyle="1" w:styleId="OpiParaSub">
    <w:name w:val="Opi_Para_Sub"/>
    <w:basedOn w:val="JuParaSub"/>
    <w:uiPriority w:val="47"/>
    <w:semiHidden/>
    <w:qFormat/>
    <w:rsid w:val="00020450"/>
  </w:style>
  <w:style w:type="paragraph" w:customStyle="1" w:styleId="OpiQuot">
    <w:name w:val="Opi_Quot"/>
    <w:basedOn w:val="ECHRParaQuote"/>
    <w:uiPriority w:val="48"/>
    <w:semiHidden/>
    <w:qFormat/>
    <w:rsid w:val="00020450"/>
  </w:style>
  <w:style w:type="paragraph" w:customStyle="1" w:styleId="OpiQuotSub">
    <w:name w:val="Opi_Quot_Sub"/>
    <w:basedOn w:val="JuQuotSub"/>
    <w:uiPriority w:val="49"/>
    <w:semiHidden/>
    <w:qFormat/>
    <w:rsid w:val="00020450"/>
  </w:style>
  <w:style w:type="paragraph" w:customStyle="1" w:styleId="ECHRTitleCentre3">
    <w:name w:val="ECHR_Title_Centre_3"/>
    <w:aliases w:val="Ju_H_Article"/>
    <w:basedOn w:val="Normale"/>
    <w:next w:val="ECHRParaQuote"/>
    <w:uiPriority w:val="27"/>
    <w:qFormat/>
    <w:rsid w:val="0002045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020450"/>
    <w:pPr>
      <w:keepNext/>
      <w:keepLines/>
      <w:spacing w:after="240"/>
      <w:jc w:val="center"/>
      <w:outlineLvl w:val="0"/>
    </w:pPr>
    <w:rPr>
      <w:rFonts w:asciiTheme="majorHAnsi" w:hAnsiTheme="majorHAnsi"/>
      <w:sz w:val="28"/>
    </w:rPr>
  </w:style>
  <w:style w:type="paragraph" w:customStyle="1" w:styleId="JuTitle">
    <w:name w:val="Ju_Title"/>
    <w:basedOn w:val="Normale"/>
    <w:next w:val="ECHRPara"/>
    <w:uiPriority w:val="3"/>
    <w:qFormat/>
    <w:rsid w:val="00020450"/>
    <w:pPr>
      <w:spacing w:before="720" w:after="240"/>
      <w:jc w:val="center"/>
      <w:outlineLvl w:val="0"/>
    </w:pPr>
    <w:rPr>
      <w:rFonts w:asciiTheme="majorHAnsi" w:hAnsiTheme="majorHAnsi"/>
      <w:b/>
      <w:caps/>
    </w:rPr>
  </w:style>
  <w:style w:type="paragraph" w:customStyle="1" w:styleId="ECHRTitle1">
    <w:name w:val="ECHR_Title_1"/>
    <w:aliases w:val="Ju_H_Head"/>
    <w:basedOn w:val="Normale"/>
    <w:next w:val="ECHRPara"/>
    <w:uiPriority w:val="18"/>
    <w:qFormat/>
    <w:rsid w:val="00020450"/>
    <w:pPr>
      <w:keepNext/>
      <w:keepLines/>
      <w:spacing w:before="720" w:after="240"/>
      <w:outlineLvl w:val="0"/>
    </w:pPr>
    <w:rPr>
      <w:rFonts w:asciiTheme="majorHAnsi" w:hAnsiTheme="majorHAnsi"/>
      <w:sz w:val="28"/>
    </w:rPr>
  </w:style>
  <w:style w:type="paragraph" w:customStyle="1" w:styleId="JuCase">
    <w:name w:val="Ju_Case"/>
    <w:basedOn w:val="Normale"/>
    <w:next w:val="ECHRPara"/>
    <w:uiPriority w:val="10"/>
    <w:semiHidden/>
    <w:rsid w:val="00020450"/>
    <w:pPr>
      <w:ind w:firstLine="284"/>
    </w:pPr>
    <w:rPr>
      <w:b/>
    </w:rPr>
  </w:style>
  <w:style w:type="paragraph" w:styleId="Titolo">
    <w:name w:val="Title"/>
    <w:basedOn w:val="Normale"/>
    <w:next w:val="Normale"/>
    <w:link w:val="TitoloCarattere"/>
    <w:uiPriority w:val="99"/>
    <w:semiHidden/>
    <w:qFormat/>
    <w:rsid w:val="0002045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20450"/>
    <w:rPr>
      <w:rFonts w:asciiTheme="majorHAnsi" w:eastAsiaTheme="majorEastAsia" w:hAnsiTheme="majorHAnsi" w:cstheme="majorBidi"/>
      <w:spacing w:val="5"/>
      <w:sz w:val="52"/>
      <w:szCs w:val="52"/>
      <w:lang w:bidi="en-US"/>
    </w:rPr>
  </w:style>
  <w:style w:type="paragraph" w:customStyle="1" w:styleId="JuQuotSub">
    <w:name w:val="Ju_Quot_Sub"/>
    <w:basedOn w:val="ECHRParaQuote"/>
    <w:uiPriority w:val="15"/>
    <w:qFormat/>
    <w:rsid w:val="00020450"/>
    <w:pPr>
      <w:ind w:left="567"/>
    </w:pPr>
  </w:style>
  <w:style w:type="paragraph" w:customStyle="1" w:styleId="JuInitialled">
    <w:name w:val="Ju_Initialled"/>
    <w:basedOn w:val="Normale"/>
    <w:uiPriority w:val="31"/>
    <w:qFormat/>
    <w:rsid w:val="00020450"/>
    <w:pPr>
      <w:tabs>
        <w:tab w:val="center" w:pos="6407"/>
      </w:tabs>
      <w:spacing w:before="720"/>
      <w:jc w:val="right"/>
    </w:pPr>
  </w:style>
  <w:style w:type="paragraph" w:customStyle="1" w:styleId="OpiHA">
    <w:name w:val="Opi_H_A"/>
    <w:basedOn w:val="ECHRHeading1"/>
    <w:next w:val="OpiPara"/>
    <w:uiPriority w:val="41"/>
    <w:semiHidden/>
    <w:qFormat/>
    <w:rsid w:val="00020450"/>
    <w:pPr>
      <w:tabs>
        <w:tab w:val="clear" w:pos="357"/>
      </w:tabs>
      <w:outlineLvl w:val="1"/>
    </w:pPr>
    <w:rPr>
      <w:b/>
    </w:rPr>
  </w:style>
  <w:style w:type="character" w:customStyle="1" w:styleId="JUNAMES">
    <w:name w:val="JU_NAMES"/>
    <w:uiPriority w:val="17"/>
    <w:qFormat/>
    <w:rsid w:val="00020450"/>
    <w:rPr>
      <w:caps w:val="0"/>
      <w:smallCaps/>
    </w:rPr>
  </w:style>
  <w:style w:type="character" w:customStyle="1" w:styleId="JuITMark">
    <w:name w:val="Ju_ITMark"/>
    <w:basedOn w:val="Carpredefinitoparagrafo"/>
    <w:uiPriority w:val="38"/>
    <w:qFormat/>
    <w:rsid w:val="00020450"/>
    <w:rPr>
      <w:vanish w:val="0"/>
      <w:color w:val="auto"/>
      <w:sz w:val="14"/>
    </w:rPr>
  </w:style>
  <w:style w:type="paragraph" w:customStyle="1" w:styleId="ECHRHeading1">
    <w:name w:val="ECHR_Heading_1"/>
    <w:aliases w:val="Ju_H_I_Roman"/>
    <w:basedOn w:val="Titolo1"/>
    <w:next w:val="ECHRPara"/>
    <w:uiPriority w:val="19"/>
    <w:qFormat/>
    <w:rsid w:val="0002045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020450"/>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020450"/>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02045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020450"/>
    <w:rPr>
      <w:sz w:val="24"/>
    </w:rPr>
  </w:style>
  <w:style w:type="character" w:customStyle="1" w:styleId="Titolo1Carattere">
    <w:name w:val="Titolo 1 Carattere"/>
    <w:basedOn w:val="Carpredefinitoparagrafo"/>
    <w:link w:val="Titolo1"/>
    <w:uiPriority w:val="99"/>
    <w:semiHidden/>
    <w:rsid w:val="00020450"/>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02045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020450"/>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020450"/>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020450"/>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020450"/>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020450"/>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020450"/>
    <w:pPr>
      <w:keepNext/>
      <w:keepLines/>
      <w:spacing w:before="240"/>
      <w:ind w:firstLine="284"/>
    </w:pPr>
  </w:style>
  <w:style w:type="paragraph" w:customStyle="1" w:styleId="DecList">
    <w:name w:val="Dec_List"/>
    <w:basedOn w:val="Normale"/>
    <w:uiPriority w:val="9"/>
    <w:qFormat/>
    <w:rsid w:val="00020450"/>
    <w:pPr>
      <w:spacing w:before="240"/>
      <w:ind w:left="284"/>
    </w:pPr>
  </w:style>
  <w:style w:type="character" w:customStyle="1" w:styleId="Titolo4Carattere">
    <w:name w:val="Titolo 4 Carattere"/>
    <w:basedOn w:val="Carpredefinitoparagrafo"/>
    <w:link w:val="Titolo4"/>
    <w:uiPriority w:val="99"/>
    <w:semiHidden/>
    <w:rsid w:val="00020450"/>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020450"/>
    <w:pPr>
      <w:tabs>
        <w:tab w:val="left" w:pos="567"/>
        <w:tab w:val="left" w:pos="1134"/>
      </w:tabs>
      <w:jc w:val="left"/>
    </w:pPr>
  </w:style>
  <w:style w:type="character" w:customStyle="1" w:styleId="Titolo5Carattere">
    <w:name w:val="Titolo 5 Carattere"/>
    <w:basedOn w:val="Carpredefinitoparagrafo"/>
    <w:link w:val="Titolo5"/>
    <w:uiPriority w:val="99"/>
    <w:semiHidden/>
    <w:rsid w:val="00020450"/>
    <w:rPr>
      <w:rFonts w:asciiTheme="majorHAnsi" w:eastAsiaTheme="majorEastAsia" w:hAnsiTheme="majorHAnsi" w:cstheme="majorBidi"/>
      <w:b/>
      <w:bCs/>
      <w:color w:val="808080"/>
    </w:rPr>
  </w:style>
  <w:style w:type="paragraph" w:customStyle="1" w:styleId="OpiTranslation">
    <w:name w:val="Opi_Translation"/>
    <w:basedOn w:val="Normale"/>
    <w:next w:val="OpiPara"/>
    <w:uiPriority w:val="40"/>
    <w:semiHidden/>
    <w:qFormat/>
    <w:rsid w:val="00020450"/>
    <w:pPr>
      <w:jc w:val="center"/>
      <w:outlineLvl w:val="0"/>
    </w:pPr>
    <w:rPr>
      <w:i/>
    </w:rPr>
  </w:style>
  <w:style w:type="paragraph" w:customStyle="1" w:styleId="JuCourt">
    <w:name w:val="Ju_Court"/>
    <w:basedOn w:val="Normale"/>
    <w:next w:val="Normale"/>
    <w:uiPriority w:val="16"/>
    <w:qFormat/>
    <w:rsid w:val="00020450"/>
    <w:pPr>
      <w:tabs>
        <w:tab w:val="left" w:pos="907"/>
        <w:tab w:val="left" w:pos="1701"/>
        <w:tab w:val="right" w:pos="7371"/>
      </w:tabs>
      <w:spacing w:before="240"/>
      <w:ind w:left="397" w:hanging="397"/>
      <w:jc w:val="left"/>
    </w:pPr>
    <w:rPr>
      <w:lang w:bidi="en-US"/>
    </w:rPr>
  </w:style>
  <w:style w:type="character" w:styleId="Enfasidelicata">
    <w:name w:val="Subtle Emphasis"/>
    <w:uiPriority w:val="99"/>
    <w:semiHidden/>
    <w:qFormat/>
    <w:rsid w:val="00020450"/>
    <w:rPr>
      <w:i/>
      <w:iCs/>
    </w:rPr>
  </w:style>
  <w:style w:type="paragraph" w:customStyle="1" w:styleId="JuList">
    <w:name w:val="Ju_List"/>
    <w:basedOn w:val="Normale"/>
    <w:uiPriority w:val="28"/>
    <w:qFormat/>
    <w:rsid w:val="00020450"/>
    <w:pPr>
      <w:ind w:left="340" w:hanging="34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a">
    <w:name w:val="Ju_List_a"/>
    <w:basedOn w:val="JuList"/>
    <w:uiPriority w:val="28"/>
    <w:qFormat/>
    <w:rsid w:val="00020450"/>
    <w:pPr>
      <w:ind w:left="346" w:firstLine="0"/>
    </w:pPr>
  </w:style>
  <w:style w:type="paragraph" w:customStyle="1" w:styleId="JuListi">
    <w:name w:val="Ju_List_i"/>
    <w:basedOn w:val="Normale"/>
    <w:next w:val="JuLista"/>
    <w:uiPriority w:val="28"/>
    <w:qFormat/>
    <w:rsid w:val="00020450"/>
    <w:pPr>
      <w:ind w:left="794"/>
    </w:pPr>
  </w:style>
  <w:style w:type="paragraph" w:customStyle="1" w:styleId="ECHRTitleCentre2">
    <w:name w:val="ECHR_Title_Centre_2"/>
    <w:aliases w:val="Dec_H_Case"/>
    <w:basedOn w:val="Normale"/>
    <w:next w:val="ECHRPara"/>
    <w:uiPriority w:val="8"/>
    <w:qFormat/>
    <w:rsid w:val="00020450"/>
    <w:pPr>
      <w:spacing w:after="240"/>
      <w:jc w:val="center"/>
      <w:outlineLvl w:val="0"/>
    </w:pPr>
    <w:rPr>
      <w:rFonts w:asciiTheme="majorHAnsi" w:hAnsiTheme="majorHAnsi"/>
      <w:i/>
    </w:rPr>
  </w:style>
  <w:style w:type="character" w:styleId="Enfasicorsivo">
    <w:name w:val="Emphasis"/>
    <w:uiPriority w:val="99"/>
    <w:semiHidden/>
    <w:qFormat/>
    <w:rsid w:val="00020450"/>
    <w:rPr>
      <w:b/>
      <w:bCs/>
      <w:i/>
      <w:iCs/>
      <w:spacing w:val="10"/>
      <w:bdr w:val="none" w:sz="0" w:space="0" w:color="auto"/>
      <w:shd w:val="clear" w:color="auto" w:fill="auto"/>
    </w:rPr>
  </w:style>
  <w:style w:type="paragraph" w:styleId="Pidipagina">
    <w:name w:val="footer"/>
    <w:basedOn w:val="Normale"/>
    <w:link w:val="PidipaginaCarattere"/>
    <w:uiPriority w:val="57"/>
    <w:semiHidden/>
    <w:rsid w:val="0002045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020450"/>
    <w:rPr>
      <w:sz w:val="24"/>
    </w:rPr>
  </w:style>
  <w:style w:type="character" w:styleId="Rimandonotaapidipagina">
    <w:name w:val="footnote reference"/>
    <w:basedOn w:val="Carpredefinitoparagrafo"/>
    <w:uiPriority w:val="99"/>
    <w:semiHidden/>
    <w:rsid w:val="00020450"/>
    <w:rPr>
      <w:vertAlign w:val="superscript"/>
    </w:rPr>
  </w:style>
  <w:style w:type="paragraph" w:styleId="Testonotaapidipagina">
    <w:name w:val="footnote text"/>
    <w:basedOn w:val="Normale"/>
    <w:link w:val="TestonotaapidipaginaCarattere"/>
    <w:uiPriority w:val="99"/>
    <w:semiHidden/>
    <w:rsid w:val="00020450"/>
    <w:rPr>
      <w:sz w:val="20"/>
      <w:szCs w:val="20"/>
    </w:rPr>
  </w:style>
  <w:style w:type="character" w:customStyle="1" w:styleId="TestonotaapidipaginaCarattere">
    <w:name w:val="Testo nota a piè di pagina Carattere"/>
    <w:basedOn w:val="Carpredefinitoparagrafo"/>
    <w:link w:val="Testonotaapidipagina"/>
    <w:uiPriority w:val="99"/>
    <w:semiHidden/>
    <w:rsid w:val="00020450"/>
    <w:rPr>
      <w:rFonts w:eastAsiaTheme="minorEastAsia"/>
      <w:sz w:val="20"/>
      <w:szCs w:val="20"/>
    </w:rPr>
  </w:style>
  <w:style w:type="character" w:customStyle="1" w:styleId="Titolo6Carattere">
    <w:name w:val="Titolo 6 Carattere"/>
    <w:basedOn w:val="Carpredefinitoparagrafo"/>
    <w:link w:val="Titolo6"/>
    <w:uiPriority w:val="99"/>
    <w:semiHidden/>
    <w:rsid w:val="00020450"/>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02045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2045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2045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020450"/>
    <w:rPr>
      <w:color w:val="0072BC" w:themeColor="hyperlink"/>
      <w:u w:val="single"/>
    </w:rPr>
  </w:style>
  <w:style w:type="character" w:styleId="Enfasiintensa">
    <w:name w:val="Intense Emphasis"/>
    <w:uiPriority w:val="99"/>
    <w:semiHidden/>
    <w:qFormat/>
    <w:rsid w:val="00020450"/>
    <w:rPr>
      <w:b/>
      <w:bCs/>
    </w:rPr>
  </w:style>
  <w:style w:type="paragraph" w:styleId="Citazioneintensa">
    <w:name w:val="Intense Quote"/>
    <w:basedOn w:val="Normale"/>
    <w:next w:val="Normale"/>
    <w:link w:val="CitazioneintensaCarattere"/>
    <w:uiPriority w:val="99"/>
    <w:semiHidden/>
    <w:qFormat/>
    <w:rsid w:val="00020450"/>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020450"/>
    <w:rPr>
      <w:rFonts w:eastAsiaTheme="minorEastAsia"/>
      <w:b/>
      <w:bCs/>
      <w:i/>
      <w:iCs/>
      <w:lang w:bidi="en-US"/>
    </w:rPr>
  </w:style>
  <w:style w:type="character" w:styleId="Riferimentointenso">
    <w:name w:val="Intense Reference"/>
    <w:uiPriority w:val="99"/>
    <w:semiHidden/>
    <w:qFormat/>
    <w:rsid w:val="00020450"/>
    <w:rPr>
      <w:smallCaps/>
      <w:spacing w:val="5"/>
      <w:u w:val="single"/>
    </w:rPr>
  </w:style>
  <w:style w:type="paragraph" w:styleId="Paragrafoelenco">
    <w:name w:val="List Paragraph"/>
    <w:basedOn w:val="Normale"/>
    <w:uiPriority w:val="99"/>
    <w:semiHidden/>
    <w:qFormat/>
    <w:rsid w:val="00020450"/>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020450"/>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020450"/>
    <w:rPr>
      <w:rFonts w:eastAsiaTheme="minorEastAsia"/>
      <w:i/>
      <w:iCs/>
      <w:lang w:bidi="en-US"/>
    </w:rPr>
  </w:style>
  <w:style w:type="character" w:styleId="Riferimentodelicato">
    <w:name w:val="Subtle Reference"/>
    <w:uiPriority w:val="99"/>
    <w:semiHidden/>
    <w:qFormat/>
    <w:rsid w:val="00020450"/>
    <w:rPr>
      <w:smallCaps/>
    </w:rPr>
  </w:style>
  <w:style w:type="table" w:styleId="Grigliatabella">
    <w:name w:val="Table Grid"/>
    <w:basedOn w:val="Tabellanormale"/>
    <w:uiPriority w:val="59"/>
    <w:semiHidden/>
    <w:rsid w:val="0002045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02045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02045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02045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020450"/>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02045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02045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02045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1">
    <w:name w:val="Opi_H_1"/>
    <w:basedOn w:val="ECHRHeading2"/>
    <w:uiPriority w:val="42"/>
    <w:semiHidden/>
    <w:qFormat/>
    <w:rsid w:val="00020450"/>
    <w:pPr>
      <w:ind w:left="635" w:hanging="357"/>
      <w:outlineLvl w:val="2"/>
    </w:pPr>
  </w:style>
  <w:style w:type="paragraph" w:customStyle="1" w:styleId="OpiHa0">
    <w:name w:val="Opi_H_a"/>
    <w:basedOn w:val="ECHRHeading3"/>
    <w:uiPriority w:val="43"/>
    <w:semiHidden/>
    <w:qFormat/>
    <w:rsid w:val="00020450"/>
    <w:pPr>
      <w:ind w:left="833" w:hanging="357"/>
      <w:outlineLvl w:val="3"/>
    </w:pPr>
    <w:rPr>
      <w:b/>
      <w:i w:val="0"/>
      <w:sz w:val="20"/>
    </w:rPr>
  </w:style>
  <w:style w:type="paragraph" w:styleId="Sottotitolo">
    <w:name w:val="Subtitle"/>
    <w:basedOn w:val="Normale"/>
    <w:next w:val="Normale"/>
    <w:link w:val="SottotitoloCarattere"/>
    <w:uiPriority w:val="99"/>
    <w:semiHidden/>
    <w:qFormat/>
    <w:rsid w:val="00020450"/>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020450"/>
    <w:pPr>
      <w:ind w:firstLine="284"/>
    </w:pPr>
  </w:style>
  <w:style w:type="character" w:customStyle="1" w:styleId="SottotitoloCarattere">
    <w:name w:val="Sottotitolo Carattere"/>
    <w:basedOn w:val="Carpredefinitoparagrafo"/>
    <w:link w:val="Sottotitolo"/>
    <w:uiPriority w:val="99"/>
    <w:semiHidden/>
    <w:rsid w:val="00020450"/>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2045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020450"/>
    <w:pPr>
      <w:tabs>
        <w:tab w:val="center" w:pos="851"/>
        <w:tab w:val="center" w:pos="6407"/>
      </w:tabs>
      <w:spacing w:before="720"/>
      <w:jc w:val="left"/>
    </w:pPr>
  </w:style>
  <w:style w:type="paragraph" w:customStyle="1" w:styleId="OpiHi">
    <w:name w:val="Opi_H_i"/>
    <w:basedOn w:val="ECHRHeading4"/>
    <w:uiPriority w:val="44"/>
    <w:semiHidden/>
    <w:qFormat/>
    <w:rsid w:val="00020450"/>
    <w:pPr>
      <w:ind w:left="1037" w:hanging="357"/>
      <w:outlineLvl w:val="4"/>
    </w:pPr>
    <w:rPr>
      <w:b w:val="0"/>
      <w:i/>
    </w:rPr>
  </w:style>
  <w:style w:type="paragraph" w:customStyle="1" w:styleId="DecHTitle">
    <w:name w:val="Dec_H_Title"/>
    <w:basedOn w:val="ECHRTitleCentre1"/>
    <w:uiPriority w:val="7"/>
    <w:qFormat/>
    <w:rsid w:val="00020450"/>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02045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02045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02045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DummyStyle">
    <w:name w:val="Dummy_Style"/>
    <w:basedOn w:val="Normale"/>
    <w:semiHidden/>
    <w:qFormat/>
    <w:rsid w:val="00020450"/>
    <w:rPr>
      <w:color w:val="00B050"/>
    </w:rPr>
  </w:style>
  <w:style w:type="paragraph" w:customStyle="1" w:styleId="ECHRFooter">
    <w:name w:val="ECHR_Footer"/>
    <w:aliases w:val="Footer_ECHR"/>
    <w:basedOn w:val="Pidipagina"/>
    <w:uiPriority w:val="57"/>
    <w:semiHidden/>
    <w:rsid w:val="00020450"/>
    <w:pPr>
      <w:jc w:val="left"/>
    </w:pPr>
    <w:rPr>
      <w:sz w:val="8"/>
    </w:rPr>
  </w:style>
  <w:style w:type="paragraph" w:customStyle="1" w:styleId="ECHRFooterLine">
    <w:name w:val="ECHR_Footer_Line"/>
    <w:aliases w:val="Footer_Line"/>
    <w:basedOn w:val="Normale"/>
    <w:next w:val="ECHRFooter"/>
    <w:uiPriority w:val="57"/>
    <w:semiHidden/>
    <w:rsid w:val="00020450"/>
    <w:pPr>
      <w:pBdr>
        <w:top w:val="single" w:sz="6" w:space="1" w:color="5F5F5F"/>
      </w:pBdr>
      <w:tabs>
        <w:tab w:val="center" w:pos="4536"/>
        <w:tab w:val="right" w:pos="9696"/>
      </w:tabs>
      <w:ind w:left="-680" w:right="-680"/>
      <w:jc w:val="left"/>
    </w:pPr>
    <w:rPr>
      <w:color w:val="5F5F5F"/>
    </w:rPr>
  </w:style>
  <w:style w:type="paragraph" w:customStyle="1" w:styleId="JuHeaderLandscape">
    <w:name w:val="Ju_Header_Landscape"/>
    <w:basedOn w:val="ECHRHeader"/>
    <w:uiPriority w:val="4"/>
    <w:qFormat/>
    <w:rsid w:val="00020450"/>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481B1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C74B-D91F-4BE0-86D7-95C46D4EA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FBA58C-B615-4184-9D26-03B1DC3792F7}">
  <ds:schemaRefs>
    <ds:schemaRef ds:uri="http://schemas.microsoft.com/sharepoint/v3/contenttype/forms"/>
  </ds:schemaRefs>
</ds:datastoreItem>
</file>

<file path=customXml/itemProps3.xml><?xml version="1.0" encoding="utf-8"?>
<ds:datastoreItem xmlns:ds="http://schemas.openxmlformats.org/officeDocument/2006/customXml" ds:itemID="{ACAF1AB8-0E93-456D-961E-092E13ACEB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9FDD9B-9F12-4FE2-A311-C831923F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14702</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2016-11-09T14:43:00Z</dcterms:created>
  <dcterms:modified xsi:type="dcterms:W3CDTF">2016-11-09T14:43:00Z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